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D22" w:rsidRDefault="00F87A45">
      <w:pPr>
        <w:pStyle w:val="Standard"/>
        <w:tabs>
          <w:tab w:val="left" w:pos="1410"/>
        </w:tabs>
        <w:jc w:val="center"/>
      </w:pPr>
      <w:r>
        <w:rPr>
          <w:rFonts w:ascii="Verdana" w:hAnsi="Verdana"/>
          <w:sz w:val="22"/>
          <w:szCs w:val="22"/>
        </w:rPr>
        <w:t>Town of Shelburne</w:t>
      </w:r>
    </w:p>
    <w:p w:rsidR="00EF3D22" w:rsidRDefault="00F87A45">
      <w:pPr>
        <w:pStyle w:val="Standard"/>
        <w:tabs>
          <w:tab w:val="left" w:pos="1410"/>
        </w:tabs>
        <w:jc w:val="center"/>
      </w:pPr>
      <w:r>
        <w:rPr>
          <w:rFonts w:ascii="Verdana" w:hAnsi="Verdana"/>
          <w:sz w:val="22"/>
          <w:szCs w:val="22"/>
        </w:rPr>
        <w:t>Economic Development Incentives</w:t>
      </w:r>
      <w:r>
        <w:rPr>
          <w:rFonts w:ascii="Verdana" w:hAnsi="Verdana"/>
          <w:sz w:val="20"/>
          <w:szCs w:val="20"/>
        </w:rPr>
        <w:t xml:space="preserve"> </w:t>
      </w:r>
    </w:p>
    <w:p w:rsidR="00EF3D22" w:rsidRDefault="00F87A45">
      <w:pPr>
        <w:pStyle w:val="Standard"/>
        <w:tabs>
          <w:tab w:val="left" w:pos="1410"/>
        </w:tabs>
        <w:jc w:val="center"/>
        <w:rPr>
          <w:rFonts w:ascii="Verdana" w:hAnsi="Verdana"/>
          <w:sz w:val="20"/>
          <w:szCs w:val="20"/>
        </w:rPr>
      </w:pPr>
      <w:r>
        <w:rPr>
          <w:rFonts w:ascii="Verdana" w:hAnsi="Verdana"/>
          <w:sz w:val="20"/>
          <w:szCs w:val="20"/>
        </w:rPr>
        <w:t xml:space="preserve"> </w:t>
      </w:r>
    </w:p>
    <w:p w:rsidR="00EF3D22" w:rsidRDefault="00F87A45">
      <w:pPr>
        <w:pStyle w:val="Standard"/>
        <w:tabs>
          <w:tab w:val="left" w:pos="1410"/>
        </w:tabs>
        <w:rPr>
          <w:rFonts w:ascii="Verdana" w:hAnsi="Verdana"/>
          <w:b/>
          <w:sz w:val="20"/>
          <w:szCs w:val="20"/>
          <w:u w:val="single"/>
        </w:rPr>
      </w:pPr>
      <w:r>
        <w:rPr>
          <w:rFonts w:ascii="Verdana" w:hAnsi="Verdana"/>
          <w:b/>
          <w:sz w:val="20"/>
          <w:szCs w:val="20"/>
          <w:u w:val="single"/>
        </w:rPr>
        <w:t>Background:</w:t>
      </w:r>
    </w:p>
    <w:p w:rsidR="00EF3D22" w:rsidRDefault="00EF3D22">
      <w:pPr>
        <w:pStyle w:val="Standard"/>
        <w:tabs>
          <w:tab w:val="left" w:pos="1410"/>
        </w:tabs>
        <w:rPr>
          <w:rFonts w:ascii="Verdana" w:hAnsi="Verdana"/>
          <w:b/>
          <w:sz w:val="20"/>
          <w:szCs w:val="20"/>
          <w:u w:val="single"/>
        </w:rPr>
      </w:pPr>
    </w:p>
    <w:p w:rsidR="00EF3D22" w:rsidRDefault="00F87A45">
      <w:pPr>
        <w:pStyle w:val="Standard"/>
        <w:tabs>
          <w:tab w:val="left" w:pos="1410"/>
        </w:tabs>
        <w:rPr>
          <w:rFonts w:ascii="Verdana" w:hAnsi="Verdana"/>
          <w:sz w:val="20"/>
          <w:szCs w:val="20"/>
        </w:rPr>
      </w:pPr>
      <w:r>
        <w:rPr>
          <w:rFonts w:ascii="Verdana" w:hAnsi="Verdana"/>
          <w:sz w:val="20"/>
          <w:szCs w:val="20"/>
        </w:rPr>
        <w:t>To stimulate business growth and foster jobs creation, Massachusetts has created the Economic Development Incentive Program (EDIP), designed to attract and retain businesses in certain economic target areas. The Massachusetts Office of Business Development administers the EDIP.</w:t>
      </w:r>
    </w:p>
    <w:p w:rsidR="00EF3D22" w:rsidRDefault="00EF3D22">
      <w:pPr>
        <w:pStyle w:val="Standard"/>
        <w:tabs>
          <w:tab w:val="left" w:pos="1410"/>
        </w:tabs>
        <w:rPr>
          <w:rFonts w:ascii="Verdana" w:hAnsi="Verdana"/>
          <w:sz w:val="20"/>
          <w:szCs w:val="20"/>
        </w:rPr>
      </w:pPr>
    </w:p>
    <w:p w:rsidR="00EF3D22" w:rsidRDefault="00F87A45">
      <w:pPr>
        <w:pStyle w:val="Standard"/>
        <w:tabs>
          <w:tab w:val="left" w:pos="1410"/>
        </w:tabs>
        <w:rPr>
          <w:rFonts w:ascii="Verdana" w:hAnsi="Verdana"/>
          <w:b/>
          <w:sz w:val="20"/>
          <w:szCs w:val="20"/>
          <w:u w:val="single"/>
        </w:rPr>
      </w:pPr>
      <w:r>
        <w:rPr>
          <w:rFonts w:ascii="Verdana" w:hAnsi="Verdana"/>
          <w:b/>
          <w:sz w:val="20"/>
          <w:szCs w:val="20"/>
          <w:u w:val="single"/>
        </w:rPr>
        <w:t>Definitions:</w:t>
      </w:r>
    </w:p>
    <w:p w:rsidR="00EF3D22" w:rsidRDefault="00EF3D22">
      <w:pPr>
        <w:pStyle w:val="Standard"/>
        <w:tabs>
          <w:tab w:val="left" w:pos="1410"/>
        </w:tabs>
        <w:rPr>
          <w:rFonts w:ascii="Verdana" w:hAnsi="Verdana"/>
          <w:b/>
          <w:sz w:val="20"/>
          <w:szCs w:val="20"/>
          <w:u w:val="single"/>
        </w:rPr>
      </w:pPr>
    </w:p>
    <w:p w:rsidR="00EF3D22" w:rsidRDefault="00F87A45">
      <w:pPr>
        <w:pStyle w:val="Standard"/>
        <w:tabs>
          <w:tab w:val="left" w:pos="1410"/>
        </w:tabs>
      </w:pPr>
      <w:r>
        <w:rPr>
          <w:rFonts w:ascii="Verdana" w:hAnsi="Verdana"/>
          <w:sz w:val="20"/>
          <w:szCs w:val="20"/>
        </w:rPr>
        <w:t xml:space="preserve">The </w:t>
      </w:r>
      <w:r>
        <w:rPr>
          <w:rFonts w:ascii="Verdana" w:hAnsi="Verdana"/>
          <w:b/>
          <w:sz w:val="20"/>
          <w:szCs w:val="20"/>
        </w:rPr>
        <w:t>Economic Assistance Coordinating Council</w:t>
      </w:r>
      <w:r>
        <w:rPr>
          <w:rFonts w:ascii="Verdana" w:hAnsi="Verdana"/>
          <w:sz w:val="20"/>
          <w:szCs w:val="20"/>
        </w:rPr>
        <w:t xml:space="preserve"> </w:t>
      </w:r>
      <w:r>
        <w:rPr>
          <w:rFonts w:ascii="Verdana" w:hAnsi="Verdana"/>
          <w:b/>
          <w:sz w:val="20"/>
          <w:szCs w:val="20"/>
        </w:rPr>
        <w:t>(EACC)</w:t>
      </w:r>
      <w:r>
        <w:rPr>
          <w:rFonts w:ascii="Verdana" w:hAnsi="Verdana"/>
          <w:sz w:val="20"/>
          <w:szCs w:val="20"/>
        </w:rPr>
        <w:t xml:space="preserve"> is a public-private body comprising of 11 members. The EACC is co-chaired by the director of Economic Development and the director of Housing and Community Development. The EACC is responsible for designating Economic Target Areas (ETAs), Economic Opportunity Areas (EOAs) and </w:t>
      </w:r>
      <w:r>
        <w:rPr>
          <w:rFonts w:ascii="Verdana" w:hAnsi="Verdana"/>
          <w:b/>
          <w:sz w:val="20"/>
          <w:szCs w:val="20"/>
        </w:rPr>
        <w:t>Certified Projects -</w:t>
      </w:r>
      <w:r>
        <w:rPr>
          <w:rFonts w:ascii="Verdana" w:hAnsi="Verdana"/>
          <w:sz w:val="20"/>
          <w:szCs w:val="20"/>
        </w:rPr>
        <w:t xml:space="preserve"> i.e. the three components of the </w:t>
      </w:r>
      <w:r>
        <w:rPr>
          <w:rFonts w:ascii="Verdana" w:hAnsi="Verdana"/>
          <w:b/>
          <w:sz w:val="20"/>
          <w:szCs w:val="20"/>
        </w:rPr>
        <w:t>Economic Development Incentive Program (EDIC.)</w:t>
      </w:r>
    </w:p>
    <w:p w:rsidR="00EF3D22" w:rsidRDefault="00EF3D22">
      <w:pPr>
        <w:pStyle w:val="Standard"/>
        <w:tabs>
          <w:tab w:val="left" w:pos="1410"/>
        </w:tabs>
        <w:rPr>
          <w:rFonts w:ascii="Verdana" w:hAnsi="Verdana"/>
          <w:b/>
          <w:sz w:val="20"/>
          <w:szCs w:val="20"/>
        </w:rPr>
      </w:pPr>
    </w:p>
    <w:p w:rsidR="00EF3D22" w:rsidRDefault="00F87A45">
      <w:pPr>
        <w:pStyle w:val="NoSpacing"/>
      </w:pPr>
      <w:r>
        <w:t>The EDIC includes a special tax incentive program (Tax Incentive Financing,</w:t>
      </w:r>
      <w:r>
        <w:rPr>
          <w:b/>
        </w:rPr>
        <w:t xml:space="preserve"> TIF</w:t>
      </w:r>
      <w:r>
        <w:t>) which allows towns to offer lower property taxes in exchange for new investment, job creation and business synergies.  The EACC must approve all local TIFs.</w:t>
      </w:r>
    </w:p>
    <w:p w:rsidR="00EF3D22" w:rsidRDefault="00EF3D22">
      <w:pPr>
        <w:pStyle w:val="NoSpacing"/>
      </w:pPr>
    </w:p>
    <w:p w:rsidR="00EF3D22" w:rsidRDefault="00F87A45">
      <w:pPr>
        <w:pStyle w:val="Standard"/>
        <w:tabs>
          <w:tab w:val="left" w:pos="1410"/>
        </w:tabs>
      </w:pPr>
      <w:r>
        <w:rPr>
          <w:rFonts w:ascii="Verdana" w:hAnsi="Verdana"/>
          <w:sz w:val="20"/>
          <w:szCs w:val="20"/>
        </w:rPr>
        <w:t xml:space="preserve">A </w:t>
      </w:r>
      <w:r>
        <w:rPr>
          <w:rFonts w:ascii="Verdana" w:hAnsi="Verdana"/>
          <w:b/>
          <w:sz w:val="20"/>
          <w:szCs w:val="20"/>
        </w:rPr>
        <w:t>Certified Project</w:t>
      </w:r>
      <w:r>
        <w:rPr>
          <w:rFonts w:ascii="Verdana" w:hAnsi="Verdana"/>
          <w:sz w:val="20"/>
          <w:szCs w:val="20"/>
        </w:rPr>
        <w:t xml:space="preserve"> is a business that is expanding its existing operations, relocating its operations, or building new facilities and creating permanent jobs. Certified Projects must be approved by both the Town and the EACC. Certified projects may receive state tax incentives,</w:t>
      </w:r>
      <w:r>
        <w:rPr>
          <w:rFonts w:ascii="Verdana" w:hAnsi="Verdana"/>
          <w:b/>
          <w:sz w:val="20"/>
          <w:szCs w:val="20"/>
        </w:rPr>
        <w:t xml:space="preserve"> </w:t>
      </w:r>
      <w:r>
        <w:rPr>
          <w:rFonts w:ascii="Verdana" w:hAnsi="Verdana"/>
          <w:sz w:val="20"/>
          <w:szCs w:val="20"/>
        </w:rPr>
        <w:t>including:</w:t>
      </w:r>
    </w:p>
    <w:p w:rsidR="00EF3D22" w:rsidRDefault="00EF3D22">
      <w:pPr>
        <w:pStyle w:val="Standard"/>
        <w:tabs>
          <w:tab w:val="left" w:pos="1410"/>
        </w:tabs>
      </w:pPr>
    </w:p>
    <w:p w:rsidR="00EF3D22" w:rsidRDefault="00F87A45">
      <w:pPr>
        <w:pStyle w:val="Standard"/>
        <w:numPr>
          <w:ilvl w:val="0"/>
          <w:numId w:val="1"/>
        </w:numPr>
        <w:tabs>
          <w:tab w:val="left" w:pos="-12990"/>
        </w:tabs>
        <w:rPr>
          <w:rFonts w:ascii="Verdana" w:hAnsi="Verdana"/>
          <w:sz w:val="20"/>
          <w:szCs w:val="20"/>
        </w:rPr>
      </w:pPr>
      <w:r>
        <w:rPr>
          <w:rFonts w:ascii="Verdana" w:hAnsi="Verdana"/>
          <w:sz w:val="20"/>
          <w:szCs w:val="20"/>
        </w:rPr>
        <w:t>A 5 percent investment tax credit for qualifying tangible, depreciable assets (5 percent of the cost or other basis for federal income tax purposes for tangible personal property and other tangible property that is depreciable and has a useful life of four or more years).</w:t>
      </w:r>
    </w:p>
    <w:p w:rsidR="00EF3D22" w:rsidRDefault="00EF3D22">
      <w:pPr>
        <w:pStyle w:val="Standard"/>
        <w:tabs>
          <w:tab w:val="left" w:pos="690"/>
        </w:tabs>
        <w:ind w:left="720"/>
        <w:rPr>
          <w:rFonts w:ascii="Verdana" w:hAnsi="Verdana"/>
          <w:sz w:val="20"/>
          <w:szCs w:val="20"/>
        </w:rPr>
      </w:pPr>
    </w:p>
    <w:p w:rsidR="00EF3D22" w:rsidRDefault="00F87A45">
      <w:pPr>
        <w:pStyle w:val="Standard"/>
        <w:numPr>
          <w:ilvl w:val="0"/>
          <w:numId w:val="1"/>
        </w:numPr>
        <w:tabs>
          <w:tab w:val="left" w:pos="-12990"/>
        </w:tabs>
        <w:rPr>
          <w:rFonts w:ascii="Verdana" w:hAnsi="Verdana"/>
          <w:sz w:val="20"/>
          <w:szCs w:val="20"/>
        </w:rPr>
      </w:pPr>
      <w:r>
        <w:rPr>
          <w:rFonts w:ascii="Verdana" w:hAnsi="Verdana"/>
          <w:sz w:val="20"/>
          <w:szCs w:val="20"/>
        </w:rPr>
        <w:t>A 10 percent tax deduction for costs associated with the renovation of an abandoned building (a building that has been at least 75 percent vacant for the previous two years).</w:t>
      </w:r>
    </w:p>
    <w:p w:rsidR="00EF3D22" w:rsidRDefault="00EF3D22">
      <w:pPr>
        <w:pStyle w:val="Standard"/>
        <w:tabs>
          <w:tab w:val="left" w:pos="1410"/>
        </w:tabs>
        <w:rPr>
          <w:rFonts w:ascii="Verdana" w:hAnsi="Verdana"/>
          <w:sz w:val="20"/>
          <w:szCs w:val="20"/>
        </w:rPr>
      </w:pPr>
    </w:p>
    <w:p w:rsidR="00EF3D22" w:rsidRDefault="00F87A45">
      <w:pPr>
        <w:pStyle w:val="Standard"/>
        <w:tabs>
          <w:tab w:val="left" w:pos="1410"/>
        </w:tabs>
      </w:pPr>
      <w:r>
        <w:rPr>
          <w:rFonts w:ascii="Verdana" w:hAnsi="Verdana"/>
          <w:sz w:val="20"/>
          <w:szCs w:val="20"/>
        </w:rPr>
        <w:t xml:space="preserve">In addition to the State programs, businesses may qualify for property tax relief under a </w:t>
      </w:r>
      <w:r>
        <w:rPr>
          <w:rFonts w:ascii="Verdana" w:hAnsi="Verdana"/>
          <w:b/>
          <w:sz w:val="20"/>
          <w:szCs w:val="20"/>
        </w:rPr>
        <w:t>TIF</w:t>
      </w:r>
      <w:r>
        <w:rPr>
          <w:rFonts w:ascii="Verdana" w:hAnsi="Verdana"/>
          <w:sz w:val="20"/>
          <w:szCs w:val="20"/>
        </w:rPr>
        <w:t xml:space="preserve">, based on the value added from new employees, new construction, infrastructure improvements or other investments which enhance a town’s overall economic health.  </w:t>
      </w:r>
    </w:p>
    <w:p w:rsidR="00EF3D22" w:rsidRDefault="00EF3D22">
      <w:pPr>
        <w:pStyle w:val="Standard"/>
        <w:tabs>
          <w:tab w:val="left" w:pos="1410"/>
        </w:tabs>
        <w:rPr>
          <w:rFonts w:ascii="Verdana" w:hAnsi="Verdana"/>
          <w:sz w:val="20"/>
          <w:szCs w:val="20"/>
        </w:rPr>
      </w:pPr>
    </w:p>
    <w:p w:rsidR="00EF3D22" w:rsidRDefault="00F87A45">
      <w:pPr>
        <w:pStyle w:val="Standard"/>
        <w:tabs>
          <w:tab w:val="left" w:pos="1410"/>
        </w:tabs>
        <w:rPr>
          <w:rFonts w:ascii="Verdana" w:hAnsi="Verdana"/>
          <w:sz w:val="20"/>
          <w:szCs w:val="20"/>
        </w:rPr>
      </w:pPr>
      <w:r>
        <w:rPr>
          <w:rFonts w:ascii="Verdana" w:hAnsi="Verdana"/>
          <w:sz w:val="20"/>
          <w:szCs w:val="20"/>
        </w:rPr>
        <w:t xml:space="preserve">In Shelburne, Certified Projects should be within the town’s three economic target areas. Property tax relief may extend from 5 to 15 years depending on the number of jobs created, the size of new investment and the synergies of the new or expanded business.  </w:t>
      </w:r>
    </w:p>
    <w:p w:rsidR="00EF3D22" w:rsidRDefault="00EF3D22">
      <w:pPr>
        <w:pStyle w:val="Standard"/>
        <w:tabs>
          <w:tab w:val="left" w:pos="1410"/>
        </w:tabs>
        <w:rPr>
          <w:rFonts w:ascii="Verdana" w:hAnsi="Verdana"/>
          <w:sz w:val="20"/>
          <w:szCs w:val="20"/>
        </w:rPr>
      </w:pPr>
    </w:p>
    <w:p w:rsidR="00EF3D22" w:rsidRDefault="00F87A45">
      <w:pPr>
        <w:pStyle w:val="Standard"/>
        <w:tabs>
          <w:tab w:val="left" w:pos="-750"/>
        </w:tabs>
        <w:rPr>
          <w:rFonts w:ascii="Verdana" w:hAnsi="Verdana"/>
          <w:b/>
          <w:sz w:val="20"/>
          <w:szCs w:val="20"/>
          <w:u w:val="single"/>
        </w:rPr>
      </w:pPr>
      <w:r>
        <w:rPr>
          <w:rFonts w:ascii="Verdana" w:hAnsi="Verdana"/>
          <w:b/>
          <w:sz w:val="20"/>
          <w:szCs w:val="20"/>
          <w:u w:val="single"/>
        </w:rPr>
        <w:t>Shelburne Economic Target Areas:</w:t>
      </w:r>
    </w:p>
    <w:p w:rsidR="00EF3D22" w:rsidRDefault="00F87A45">
      <w:pPr>
        <w:pStyle w:val="Standard"/>
        <w:numPr>
          <w:ilvl w:val="0"/>
          <w:numId w:val="2"/>
        </w:numPr>
        <w:tabs>
          <w:tab w:val="left" w:pos="-12990"/>
        </w:tabs>
        <w:rPr>
          <w:rFonts w:ascii="Verdana" w:hAnsi="Verdana"/>
          <w:sz w:val="20"/>
          <w:szCs w:val="20"/>
        </w:rPr>
      </w:pPr>
      <w:r>
        <w:rPr>
          <w:rFonts w:ascii="Verdana" w:hAnsi="Verdana"/>
          <w:sz w:val="20"/>
          <w:szCs w:val="20"/>
        </w:rPr>
        <w:t xml:space="preserve">The area zoned industrial, </w:t>
      </w:r>
    </w:p>
    <w:p w:rsidR="00EF3D22" w:rsidRDefault="00F87A45">
      <w:pPr>
        <w:pStyle w:val="Standard"/>
        <w:numPr>
          <w:ilvl w:val="0"/>
          <w:numId w:val="2"/>
        </w:numPr>
        <w:tabs>
          <w:tab w:val="left" w:pos="-12990"/>
        </w:tabs>
        <w:rPr>
          <w:rFonts w:ascii="Verdana" w:hAnsi="Verdana"/>
          <w:sz w:val="20"/>
          <w:szCs w:val="20"/>
        </w:rPr>
      </w:pPr>
      <w:r>
        <w:rPr>
          <w:rFonts w:ascii="Verdana" w:hAnsi="Verdana"/>
          <w:sz w:val="20"/>
          <w:szCs w:val="20"/>
        </w:rPr>
        <w:t xml:space="preserve">The Rt. 2 corridor, </w:t>
      </w:r>
    </w:p>
    <w:p w:rsidR="00EF3D22" w:rsidRDefault="00F87A45">
      <w:pPr>
        <w:pStyle w:val="Standard"/>
        <w:numPr>
          <w:ilvl w:val="0"/>
          <w:numId w:val="2"/>
        </w:numPr>
        <w:tabs>
          <w:tab w:val="left" w:pos="-12990"/>
        </w:tabs>
      </w:pPr>
      <w:r>
        <w:rPr>
          <w:rFonts w:ascii="Verdana" w:hAnsi="Verdana"/>
          <w:sz w:val="20"/>
          <w:szCs w:val="20"/>
        </w:rPr>
        <w:t>The Shelburne Falls</w:t>
      </w:r>
      <w:r>
        <w:rPr>
          <w:rFonts w:ascii="Verdana" w:hAnsi="Verdana"/>
          <w:color w:val="FF0000"/>
          <w:sz w:val="20"/>
          <w:szCs w:val="20"/>
        </w:rPr>
        <w:t xml:space="preserve"> </w:t>
      </w:r>
      <w:r>
        <w:rPr>
          <w:rFonts w:ascii="Verdana" w:hAnsi="Verdana"/>
          <w:sz w:val="20"/>
          <w:szCs w:val="20"/>
        </w:rPr>
        <w:t>village</w:t>
      </w:r>
      <w:r>
        <w:rPr>
          <w:rFonts w:ascii="Verdana" w:hAnsi="Verdana"/>
          <w:color w:val="FF0000"/>
          <w:sz w:val="20"/>
          <w:szCs w:val="20"/>
        </w:rPr>
        <w:t xml:space="preserve"> </w:t>
      </w:r>
      <w:r>
        <w:rPr>
          <w:rFonts w:ascii="Verdana" w:hAnsi="Verdana"/>
          <w:sz w:val="20"/>
          <w:szCs w:val="20"/>
        </w:rPr>
        <w:t>area between Rt. 2 and the Deerfield River,</w:t>
      </w:r>
    </w:p>
    <w:p w:rsidR="00EF3D22" w:rsidRDefault="00F87A45">
      <w:pPr>
        <w:pStyle w:val="Standard"/>
        <w:numPr>
          <w:ilvl w:val="0"/>
          <w:numId w:val="2"/>
        </w:numPr>
        <w:tabs>
          <w:tab w:val="left" w:pos="-12990"/>
        </w:tabs>
        <w:rPr>
          <w:rFonts w:ascii="Verdana" w:hAnsi="Verdana"/>
          <w:sz w:val="20"/>
          <w:szCs w:val="20"/>
        </w:rPr>
      </w:pPr>
      <w:r>
        <w:rPr>
          <w:rFonts w:ascii="Verdana" w:hAnsi="Verdana"/>
          <w:sz w:val="20"/>
          <w:szCs w:val="20"/>
        </w:rPr>
        <w:t>While the target areas are of prime interest, Shelburne may consider TIFs located in other areas.</w:t>
      </w:r>
    </w:p>
    <w:p w:rsidR="00EF3D22" w:rsidRDefault="00EF3D22">
      <w:pPr>
        <w:pStyle w:val="Standard"/>
        <w:tabs>
          <w:tab w:val="left" w:pos="-3630"/>
        </w:tabs>
        <w:rPr>
          <w:rFonts w:ascii="Verdana" w:hAnsi="Verdana"/>
          <w:sz w:val="20"/>
          <w:szCs w:val="20"/>
        </w:rPr>
      </w:pPr>
    </w:p>
    <w:p w:rsidR="00EF3D22" w:rsidRDefault="00F87A45">
      <w:pPr>
        <w:pStyle w:val="Standard"/>
        <w:tabs>
          <w:tab w:val="left" w:pos="-3630"/>
        </w:tabs>
        <w:spacing w:after="120"/>
      </w:pPr>
      <w:r>
        <w:rPr>
          <w:rFonts w:ascii="Verdana" w:hAnsi="Verdana"/>
          <w:b/>
          <w:sz w:val="20"/>
          <w:szCs w:val="20"/>
          <w:u w:val="single"/>
        </w:rPr>
        <w:t>Certified Projects</w:t>
      </w:r>
      <w:r>
        <w:rPr>
          <w:rFonts w:ascii="Verdana" w:hAnsi="Verdana"/>
          <w:sz w:val="20"/>
          <w:szCs w:val="20"/>
        </w:rPr>
        <w:t xml:space="preserve"> should meet the following economic development goals:</w:t>
      </w:r>
    </w:p>
    <w:p w:rsidR="00EF3D22" w:rsidRDefault="00F87A45">
      <w:pPr>
        <w:pStyle w:val="NoSpacing"/>
        <w:numPr>
          <w:ilvl w:val="0"/>
          <w:numId w:val="3"/>
        </w:numPr>
      </w:pPr>
      <w:r>
        <w:t xml:space="preserve">Improve the economic condition of the Town, </w:t>
      </w:r>
    </w:p>
    <w:p w:rsidR="00EF3D22" w:rsidRDefault="00F87A45">
      <w:pPr>
        <w:pStyle w:val="NoSpacing"/>
        <w:numPr>
          <w:ilvl w:val="0"/>
          <w:numId w:val="3"/>
        </w:numPr>
      </w:pPr>
      <w:r>
        <w:t>Increase the tax base,</w:t>
      </w:r>
    </w:p>
    <w:p w:rsidR="00EF3D22" w:rsidRDefault="00F87A45">
      <w:pPr>
        <w:pStyle w:val="NoSpacing"/>
        <w:numPr>
          <w:ilvl w:val="0"/>
          <w:numId w:val="3"/>
        </w:numPr>
      </w:pPr>
      <w:r>
        <w:t>Expand employment opportunities, especially high-paying jobs,</w:t>
      </w:r>
    </w:p>
    <w:p w:rsidR="00EF3D22" w:rsidRDefault="00F87A45">
      <w:pPr>
        <w:pStyle w:val="NoSpacing"/>
        <w:numPr>
          <w:ilvl w:val="0"/>
          <w:numId w:val="3"/>
        </w:numPr>
      </w:pPr>
      <w:r>
        <w:t>Complement existing businesses and attract new ones,</w:t>
      </w:r>
    </w:p>
    <w:p w:rsidR="00EF3D22" w:rsidRDefault="00F87A45">
      <w:pPr>
        <w:pStyle w:val="NoSpacing"/>
        <w:numPr>
          <w:ilvl w:val="0"/>
          <w:numId w:val="3"/>
        </w:numPr>
      </w:pPr>
      <w:r>
        <w:t>Encourage redevelopment of older industrial areas,</w:t>
      </w:r>
    </w:p>
    <w:p w:rsidR="00EF3D22" w:rsidRDefault="00F87A45">
      <w:pPr>
        <w:pStyle w:val="NoSpacing"/>
        <w:numPr>
          <w:ilvl w:val="0"/>
          <w:numId w:val="3"/>
        </w:numPr>
      </w:pPr>
      <w:r>
        <w:t>Renovate or redevelop existing buildings and underutilized sites,</w:t>
      </w:r>
    </w:p>
    <w:p w:rsidR="00EF3D22" w:rsidRDefault="00F87A45">
      <w:pPr>
        <w:pStyle w:val="NoSpacing"/>
        <w:numPr>
          <w:ilvl w:val="0"/>
          <w:numId w:val="3"/>
        </w:numPr>
      </w:pPr>
      <w:r>
        <w:t xml:space="preserve">Promote regional collaboration. </w:t>
      </w:r>
    </w:p>
    <w:p w:rsidR="00EF3D22" w:rsidRDefault="00EF3D22">
      <w:pPr>
        <w:pStyle w:val="Standard"/>
        <w:tabs>
          <w:tab w:val="left" w:pos="-750"/>
        </w:tabs>
        <w:rPr>
          <w:rFonts w:ascii="Verdana" w:hAnsi="Verdana"/>
          <w:sz w:val="20"/>
          <w:szCs w:val="20"/>
        </w:rPr>
      </w:pPr>
    </w:p>
    <w:p w:rsidR="00EF3D22" w:rsidRDefault="00F87A45">
      <w:pPr>
        <w:pStyle w:val="Standard"/>
        <w:tabs>
          <w:tab w:val="left" w:pos="-750"/>
        </w:tabs>
      </w:pPr>
      <w:r>
        <w:rPr>
          <w:rFonts w:ascii="Verdana" w:hAnsi="Verdana"/>
          <w:sz w:val="20"/>
          <w:szCs w:val="20"/>
          <w:u w:val="single"/>
        </w:rPr>
        <w:t xml:space="preserve">Schedule </w:t>
      </w:r>
      <w:proofErr w:type="gramStart"/>
      <w:r>
        <w:rPr>
          <w:rFonts w:ascii="Verdana" w:hAnsi="Verdana"/>
          <w:sz w:val="20"/>
          <w:szCs w:val="20"/>
          <w:u w:val="single"/>
        </w:rPr>
        <w:t>A</w:t>
      </w:r>
      <w:proofErr w:type="gramEnd"/>
      <w:r>
        <w:rPr>
          <w:rFonts w:ascii="Verdana" w:hAnsi="Verdana"/>
          <w:sz w:val="20"/>
          <w:szCs w:val="20"/>
        </w:rPr>
        <w:t xml:space="preserve"> lists in greater details Shelburne’s specific criteria for </w:t>
      </w:r>
      <w:r>
        <w:rPr>
          <w:rFonts w:ascii="Verdana" w:hAnsi="Verdana"/>
          <w:b/>
          <w:sz w:val="20"/>
          <w:szCs w:val="20"/>
          <w:u w:val="single"/>
        </w:rPr>
        <w:t>Certified Projects</w:t>
      </w:r>
      <w:r>
        <w:rPr>
          <w:rFonts w:ascii="Verdana" w:hAnsi="Verdana"/>
          <w:sz w:val="20"/>
          <w:szCs w:val="20"/>
        </w:rPr>
        <w:t>.</w:t>
      </w:r>
    </w:p>
    <w:p w:rsidR="00EF3D22" w:rsidRDefault="00EF3D22">
      <w:pPr>
        <w:pStyle w:val="Standard"/>
        <w:tabs>
          <w:tab w:val="left" w:pos="1410"/>
        </w:tabs>
        <w:rPr>
          <w:rFonts w:ascii="Verdana" w:hAnsi="Verdana"/>
          <w:sz w:val="20"/>
          <w:szCs w:val="20"/>
        </w:rPr>
      </w:pPr>
    </w:p>
    <w:p w:rsidR="007622D9" w:rsidRDefault="007622D9">
      <w:pPr>
        <w:suppressAutoHyphens w:val="0"/>
        <w:rPr>
          <w:rFonts w:ascii="Verdana" w:hAnsi="Verdana"/>
          <w:b/>
          <w:sz w:val="20"/>
          <w:szCs w:val="20"/>
          <w:u w:val="single"/>
        </w:rPr>
      </w:pPr>
      <w:r>
        <w:rPr>
          <w:rFonts w:ascii="Verdana" w:hAnsi="Verdana"/>
          <w:b/>
          <w:sz w:val="20"/>
          <w:szCs w:val="20"/>
          <w:u w:val="single"/>
        </w:rPr>
        <w:br w:type="page"/>
      </w:r>
    </w:p>
    <w:p w:rsidR="00EF3D22" w:rsidRDefault="00F87A45">
      <w:pPr>
        <w:pStyle w:val="Standard"/>
        <w:tabs>
          <w:tab w:val="left" w:pos="1410"/>
        </w:tabs>
        <w:rPr>
          <w:rFonts w:ascii="Verdana" w:hAnsi="Verdana"/>
          <w:b/>
          <w:sz w:val="20"/>
          <w:szCs w:val="20"/>
          <w:u w:val="single"/>
        </w:rPr>
      </w:pPr>
      <w:r>
        <w:rPr>
          <w:rFonts w:ascii="Verdana" w:hAnsi="Verdana"/>
          <w:b/>
          <w:sz w:val="20"/>
          <w:szCs w:val="20"/>
          <w:u w:val="single"/>
        </w:rPr>
        <w:lastRenderedPageBreak/>
        <w:t>TIF Application and Approval Process for Shelburne</w:t>
      </w:r>
    </w:p>
    <w:p w:rsidR="00EF3D22" w:rsidRDefault="00EF3D22">
      <w:pPr>
        <w:pStyle w:val="Standard"/>
        <w:tabs>
          <w:tab w:val="left" w:pos="1410"/>
        </w:tabs>
        <w:rPr>
          <w:rFonts w:ascii="Verdana" w:hAnsi="Verdana"/>
          <w:b/>
          <w:sz w:val="20"/>
          <w:szCs w:val="20"/>
          <w:u w:val="single"/>
        </w:rPr>
      </w:pPr>
    </w:p>
    <w:p w:rsidR="00EF3D22" w:rsidRDefault="00F87A45">
      <w:pPr>
        <w:pStyle w:val="Standard"/>
        <w:tabs>
          <w:tab w:val="left" w:pos="1410"/>
        </w:tabs>
      </w:pPr>
      <w:r>
        <w:rPr>
          <w:rFonts w:ascii="Verdana" w:hAnsi="Verdana"/>
          <w:sz w:val="20"/>
          <w:szCs w:val="20"/>
        </w:rPr>
        <w:t>Set forth below are systems, procedures and considerations for evaluating TIF Applications.  Changing economic conditions, business considerations or Shelburne town needs may support alternative structures or concessions for TIFs.  The TIF Evaluation Committee or the Select Board should vary this process as circumstance dictate.  The Finance Committee will also evaluate TIF Applications and offer views and a recommendation.  Final authority for negotiating the TIF with the applicant rests with the Select Board.</w:t>
      </w:r>
    </w:p>
    <w:p w:rsidR="00EF3D22" w:rsidRDefault="00EF3D22">
      <w:pPr>
        <w:pStyle w:val="Standard"/>
        <w:tabs>
          <w:tab w:val="left" w:pos="1410"/>
        </w:tabs>
        <w:rPr>
          <w:rFonts w:ascii="Verdana" w:hAnsi="Verdana"/>
          <w:sz w:val="20"/>
          <w:szCs w:val="20"/>
        </w:rPr>
      </w:pPr>
    </w:p>
    <w:p w:rsidR="00EF3D22" w:rsidRDefault="00F87A45">
      <w:pPr>
        <w:pStyle w:val="Standard"/>
        <w:tabs>
          <w:tab w:val="left" w:pos="1410"/>
        </w:tabs>
      </w:pPr>
      <w:r>
        <w:rPr>
          <w:rFonts w:ascii="Verdana" w:hAnsi="Verdana"/>
          <w:sz w:val="20"/>
          <w:szCs w:val="20"/>
        </w:rPr>
        <w:t xml:space="preserve">The </w:t>
      </w:r>
      <w:r>
        <w:rPr>
          <w:rFonts w:ascii="Verdana" w:hAnsi="Verdana"/>
          <w:b/>
          <w:sz w:val="20"/>
          <w:szCs w:val="20"/>
        </w:rPr>
        <w:t>TIF Evaluation Committee</w:t>
      </w:r>
      <w:r>
        <w:rPr>
          <w:rFonts w:ascii="Verdana" w:hAnsi="Verdana"/>
          <w:sz w:val="20"/>
          <w:szCs w:val="20"/>
        </w:rPr>
        <w:t xml:space="preserve"> will consider all TIF applications and make recommendations to the Select Board and to Town Meeting.  In preparing its recommendations, the committee will meet with the applicant, review the application material, </w:t>
      </w:r>
      <w:proofErr w:type="gramStart"/>
      <w:r>
        <w:rPr>
          <w:rFonts w:ascii="Verdana" w:hAnsi="Verdana"/>
          <w:sz w:val="20"/>
          <w:szCs w:val="20"/>
        </w:rPr>
        <w:t>request</w:t>
      </w:r>
      <w:proofErr w:type="gramEnd"/>
      <w:r>
        <w:rPr>
          <w:rFonts w:ascii="Verdana" w:hAnsi="Verdana"/>
          <w:sz w:val="20"/>
          <w:szCs w:val="20"/>
        </w:rPr>
        <w:t xml:space="preserve"> any additional information as may be necessary to evaluate the proposal and its impact on Shelburne, analyze the costs and benefits and then formulate a recommendation to the Select Board.  The TIF Evaluation Committee will consist of one member from the Board of Assessors, one from the Zoning Board of Appeals, the Town Administrator, one member of the Greater Shelburne Falls Business Association and two members from the Finance Committee.  </w:t>
      </w:r>
    </w:p>
    <w:p w:rsidR="00EF3D22" w:rsidRDefault="00EF3D22">
      <w:pPr>
        <w:pStyle w:val="Standard"/>
        <w:tabs>
          <w:tab w:val="left" w:pos="1410"/>
        </w:tabs>
        <w:rPr>
          <w:rFonts w:ascii="Verdana" w:hAnsi="Verdana"/>
          <w:sz w:val="20"/>
          <w:szCs w:val="20"/>
        </w:rPr>
      </w:pPr>
    </w:p>
    <w:p w:rsidR="00EF3D22" w:rsidRDefault="00F87A45">
      <w:pPr>
        <w:pStyle w:val="Standard"/>
        <w:tabs>
          <w:tab w:val="left" w:pos="1410"/>
        </w:tabs>
      </w:pPr>
      <w:r>
        <w:rPr>
          <w:rFonts w:ascii="Verdana" w:hAnsi="Verdana"/>
          <w:sz w:val="20"/>
          <w:szCs w:val="20"/>
        </w:rPr>
        <w:t>In considering applications, any member of the TIF committee who has, or may have a business or personal conflict with the proposal or the applicant shall disclose that conflict and will, if the remaining member of the committee consider appropriate, withdraw from discussion and/or voting.</w:t>
      </w:r>
      <w:r>
        <w:rPr>
          <w:rFonts w:ascii="Verdana" w:hAnsi="Verdana"/>
          <w:sz w:val="20"/>
          <w:szCs w:val="20"/>
        </w:rPr>
        <w:br/>
      </w:r>
      <w:r>
        <w:rPr>
          <w:rFonts w:ascii="Verdana" w:hAnsi="Verdana"/>
          <w:color w:val="FF0000"/>
          <w:sz w:val="20"/>
          <w:szCs w:val="20"/>
        </w:rPr>
        <w:t xml:space="preserve">   </w:t>
      </w:r>
    </w:p>
    <w:p w:rsidR="00EF3D22" w:rsidRDefault="00F87A45">
      <w:pPr>
        <w:pStyle w:val="NoSpacing"/>
      </w:pPr>
      <w:r>
        <w:t xml:space="preserve">Before the TIF Committee will consider an application, the applicant must supply confirmation from the Tax Collector that full taxes have been paid on the subject property.  Tax reduction is available only on the incremental investment in a property.  Tax relief may range from 5% to 100% of the new investment, may be in increasing or decreasing percentages each year and may extend for 5 to 15 years.  Other criteria include number and quality of jobs added, amount of new investment, </w:t>
      </w:r>
      <w:proofErr w:type="gramStart"/>
      <w:r>
        <w:t>nature</w:t>
      </w:r>
      <w:proofErr w:type="gramEnd"/>
      <w:r>
        <w:t xml:space="preserve"> of new business, synergies with existing businesses, environmental impact and overall benefit to the Shelburne community.  </w:t>
      </w:r>
    </w:p>
    <w:p w:rsidR="00EF3D22" w:rsidRDefault="00EF3D22">
      <w:pPr>
        <w:pStyle w:val="NoSpacing"/>
      </w:pPr>
    </w:p>
    <w:p w:rsidR="00EF3D22" w:rsidRDefault="00F87A45">
      <w:pPr>
        <w:pStyle w:val="Standard"/>
        <w:tabs>
          <w:tab w:val="left" w:pos="1410"/>
        </w:tabs>
      </w:pPr>
      <w:r>
        <w:rPr>
          <w:rFonts w:ascii="Verdana" w:hAnsi="Verdana"/>
          <w:sz w:val="20"/>
          <w:szCs w:val="20"/>
          <w:u w:val="single"/>
        </w:rPr>
        <w:t xml:space="preserve">Schedule B </w:t>
      </w:r>
      <w:r>
        <w:rPr>
          <w:rFonts w:ascii="Verdana" w:hAnsi="Verdana"/>
          <w:sz w:val="20"/>
          <w:szCs w:val="20"/>
        </w:rPr>
        <w:t xml:space="preserve">lists potential tax relief for new jobs created, but other factors listed above like job quality, investment amount, economic impact, business synergies and redevelopment of older properties will also effect the level of tax relief.   </w:t>
      </w:r>
      <w:r>
        <w:rPr>
          <w:rFonts w:ascii="Verdana" w:hAnsi="Verdana"/>
          <w:color w:val="000000"/>
          <w:sz w:val="20"/>
          <w:szCs w:val="20"/>
        </w:rPr>
        <w:t>Shelburne reserves the right to alter these guidelines from time to time in the best interests of the Town of Shelburne.</w:t>
      </w:r>
    </w:p>
    <w:p w:rsidR="00EF3D22" w:rsidRDefault="00EF3D22">
      <w:pPr>
        <w:pStyle w:val="Standard"/>
        <w:tabs>
          <w:tab w:val="left" w:pos="1410"/>
        </w:tabs>
        <w:rPr>
          <w:rFonts w:ascii="Verdana" w:hAnsi="Verdana"/>
          <w:sz w:val="20"/>
          <w:szCs w:val="20"/>
        </w:rPr>
      </w:pPr>
    </w:p>
    <w:p w:rsidR="00EF3D22" w:rsidRDefault="00F87A45">
      <w:pPr>
        <w:pStyle w:val="Standard"/>
        <w:tabs>
          <w:tab w:val="left" w:pos="-750"/>
        </w:tabs>
        <w:rPr>
          <w:rFonts w:ascii="Verdana" w:hAnsi="Verdana"/>
          <w:sz w:val="20"/>
          <w:szCs w:val="20"/>
        </w:rPr>
      </w:pPr>
      <w:r>
        <w:rPr>
          <w:rFonts w:ascii="Verdana" w:hAnsi="Verdana"/>
          <w:sz w:val="20"/>
          <w:szCs w:val="20"/>
        </w:rPr>
        <w:t xml:space="preserve">Any costs which Shelburne boards or committees may incur in reviewing and analyzing the proposed project will be at the applicant’s expense.  </w:t>
      </w:r>
    </w:p>
    <w:p w:rsidR="00EF3D22" w:rsidRDefault="00EF3D22">
      <w:pPr>
        <w:pStyle w:val="Standard"/>
        <w:tabs>
          <w:tab w:val="left" w:pos="-750"/>
        </w:tabs>
        <w:rPr>
          <w:rFonts w:ascii="Verdana" w:hAnsi="Verdana"/>
          <w:sz w:val="20"/>
          <w:szCs w:val="20"/>
        </w:rPr>
      </w:pPr>
    </w:p>
    <w:p w:rsidR="00EF3D22" w:rsidRDefault="00F87A45">
      <w:pPr>
        <w:pStyle w:val="Standard"/>
        <w:tabs>
          <w:tab w:val="left" w:pos="-750"/>
        </w:tabs>
      </w:pPr>
      <w:r>
        <w:rPr>
          <w:rFonts w:ascii="Verdana" w:hAnsi="Verdana"/>
          <w:sz w:val="20"/>
          <w:szCs w:val="20"/>
        </w:rPr>
        <w:t xml:space="preserve">After the TIF Evaluation Committee recommendation, the project must receive approval from Shelburne’s Selectboard (with advice of council as necessary,) Shelburne’s Town meeting and the </w:t>
      </w:r>
      <w:r>
        <w:t xml:space="preserve">EACC.  </w:t>
      </w:r>
    </w:p>
    <w:p w:rsidR="00EF3D22" w:rsidRDefault="00EF3D22">
      <w:pPr>
        <w:pStyle w:val="Standard"/>
        <w:tabs>
          <w:tab w:val="left" w:pos="-750"/>
        </w:tabs>
      </w:pPr>
    </w:p>
    <w:p w:rsidR="00EF3D22" w:rsidRDefault="00F87A45">
      <w:pPr>
        <w:pStyle w:val="Standard"/>
        <w:tabs>
          <w:tab w:val="left" w:pos="-750"/>
        </w:tabs>
        <w:rPr>
          <w:rFonts w:ascii="Verdana" w:hAnsi="Verdana"/>
          <w:sz w:val="20"/>
          <w:szCs w:val="20"/>
          <w:u w:val="single"/>
        </w:rPr>
      </w:pPr>
      <w:r>
        <w:rPr>
          <w:rFonts w:ascii="Verdana" w:hAnsi="Verdana"/>
          <w:sz w:val="20"/>
          <w:szCs w:val="20"/>
          <w:u w:val="single"/>
        </w:rPr>
        <w:t>The following is a summary of the steps involved:</w:t>
      </w:r>
    </w:p>
    <w:p w:rsidR="00EF3D22" w:rsidRDefault="00F87A45">
      <w:pPr>
        <w:pStyle w:val="Standard"/>
        <w:numPr>
          <w:ilvl w:val="0"/>
          <w:numId w:val="4"/>
        </w:numPr>
        <w:tabs>
          <w:tab w:val="left" w:pos="-3630"/>
        </w:tabs>
        <w:spacing w:after="120"/>
        <w:ind w:left="540" w:hanging="540"/>
      </w:pPr>
      <w:r>
        <w:rPr>
          <w:rFonts w:ascii="Verdana" w:hAnsi="Verdana"/>
          <w:sz w:val="20"/>
          <w:szCs w:val="20"/>
        </w:rPr>
        <w:t>The applicant meets with the Town Administrator</w:t>
      </w:r>
      <w:r>
        <w:rPr>
          <w:rFonts w:ascii="Verdana" w:hAnsi="Verdana"/>
          <w:color w:val="FF0000"/>
          <w:sz w:val="20"/>
          <w:szCs w:val="20"/>
        </w:rPr>
        <w:t xml:space="preserve"> </w:t>
      </w:r>
      <w:r>
        <w:rPr>
          <w:rFonts w:ascii="Verdana" w:hAnsi="Verdana"/>
          <w:sz w:val="20"/>
          <w:szCs w:val="20"/>
        </w:rPr>
        <w:t>to review the application process.</w:t>
      </w:r>
    </w:p>
    <w:p w:rsidR="00EF3D22" w:rsidRDefault="00F87A45">
      <w:pPr>
        <w:pStyle w:val="Standard"/>
        <w:numPr>
          <w:ilvl w:val="0"/>
          <w:numId w:val="4"/>
        </w:numPr>
        <w:tabs>
          <w:tab w:val="left" w:pos="-3630"/>
        </w:tabs>
        <w:spacing w:after="120"/>
        <w:ind w:left="540" w:hanging="540"/>
      </w:pPr>
      <w:r>
        <w:rPr>
          <w:rFonts w:ascii="Verdana" w:hAnsi="Verdana"/>
          <w:sz w:val="20"/>
          <w:szCs w:val="20"/>
        </w:rPr>
        <w:t xml:space="preserve">The applicant submits a letter of interest to the Town Administrator for distribution to the TIF Evaluation Committee and the SB.  </w:t>
      </w:r>
    </w:p>
    <w:p w:rsidR="00EF3D22" w:rsidRDefault="00F87A45">
      <w:pPr>
        <w:pStyle w:val="Standard"/>
        <w:numPr>
          <w:ilvl w:val="0"/>
          <w:numId w:val="4"/>
        </w:numPr>
        <w:tabs>
          <w:tab w:val="left" w:pos="-3630"/>
        </w:tabs>
        <w:spacing w:after="120"/>
        <w:ind w:left="540" w:hanging="540"/>
      </w:pPr>
      <w:r>
        <w:rPr>
          <w:rFonts w:ascii="Verdana" w:hAnsi="Verdana"/>
          <w:sz w:val="20"/>
          <w:szCs w:val="20"/>
        </w:rPr>
        <w:t>The applicant meets with the TIF Committee to present the project, respond to initial questions, identify additional necessary information, and present a timeline.</w:t>
      </w:r>
    </w:p>
    <w:p w:rsidR="00EF3D22" w:rsidRDefault="00F87A45">
      <w:pPr>
        <w:pStyle w:val="Standard"/>
        <w:numPr>
          <w:ilvl w:val="0"/>
          <w:numId w:val="4"/>
        </w:numPr>
        <w:tabs>
          <w:tab w:val="left" w:pos="-3630"/>
        </w:tabs>
        <w:spacing w:after="120"/>
        <w:ind w:left="540" w:hanging="540"/>
      </w:pPr>
      <w:r>
        <w:rPr>
          <w:rFonts w:ascii="Verdana" w:hAnsi="Verdana"/>
          <w:color w:val="000000"/>
          <w:sz w:val="20"/>
          <w:szCs w:val="20"/>
        </w:rPr>
        <w:t xml:space="preserve">The applicant submits to the TIF Evaluation Committee (with a copy to the Town Administrator) a </w:t>
      </w:r>
      <w:r>
        <w:rPr>
          <w:rFonts w:ascii="Verdana" w:hAnsi="Verdana"/>
          <w:b/>
          <w:color w:val="000000"/>
          <w:sz w:val="20"/>
          <w:szCs w:val="20"/>
        </w:rPr>
        <w:t>Certified Project</w:t>
      </w:r>
      <w:r>
        <w:rPr>
          <w:rFonts w:ascii="Verdana" w:hAnsi="Verdana"/>
          <w:color w:val="000000"/>
          <w:sz w:val="20"/>
          <w:szCs w:val="20"/>
        </w:rPr>
        <w:t xml:space="preserve"> application setting forth a description of the project, which should include –</w:t>
      </w:r>
    </w:p>
    <w:p w:rsidR="00EF3D22" w:rsidRDefault="00F87A45">
      <w:pPr>
        <w:pStyle w:val="NoSpacing"/>
        <w:numPr>
          <w:ilvl w:val="0"/>
          <w:numId w:val="5"/>
        </w:numPr>
        <w:ind w:left="1260"/>
        <w:rPr>
          <w:rFonts w:ascii="Times New Roman" w:hAnsi="Times New Roman"/>
          <w:sz w:val="24"/>
          <w:szCs w:val="24"/>
        </w:rPr>
      </w:pPr>
      <w:r>
        <w:rPr>
          <w:rFonts w:ascii="Times New Roman" w:hAnsi="Times New Roman"/>
          <w:sz w:val="24"/>
          <w:szCs w:val="24"/>
        </w:rPr>
        <w:t>The scope of the project,</w:t>
      </w:r>
    </w:p>
    <w:p w:rsidR="00EF3D22" w:rsidRDefault="00F87A45">
      <w:pPr>
        <w:pStyle w:val="NoSpacing"/>
        <w:numPr>
          <w:ilvl w:val="0"/>
          <w:numId w:val="5"/>
        </w:numPr>
        <w:ind w:left="1260"/>
      </w:pPr>
      <w:r>
        <w:t xml:space="preserve">the type, timing, and amount of new investment, </w:t>
      </w:r>
    </w:p>
    <w:p w:rsidR="00EF3D22" w:rsidRDefault="00F87A45">
      <w:pPr>
        <w:pStyle w:val="NoSpacing"/>
        <w:numPr>
          <w:ilvl w:val="0"/>
          <w:numId w:val="5"/>
        </w:numPr>
        <w:ind w:left="1260"/>
      </w:pPr>
      <w:r>
        <w:rPr>
          <w:color w:val="000000"/>
        </w:rPr>
        <w:t xml:space="preserve">maps of the project and surrounding area, </w:t>
      </w:r>
    </w:p>
    <w:p w:rsidR="00EF3D22" w:rsidRDefault="00F87A45">
      <w:pPr>
        <w:pStyle w:val="NoSpacing"/>
        <w:numPr>
          <w:ilvl w:val="0"/>
          <w:numId w:val="5"/>
        </w:numPr>
        <w:ind w:left="1260"/>
      </w:pPr>
      <w:r>
        <w:rPr>
          <w:color w:val="000000"/>
        </w:rPr>
        <w:t xml:space="preserve">number, quality and quantity of jobs created,  </w:t>
      </w:r>
    </w:p>
    <w:p w:rsidR="00EF3D22" w:rsidRPr="00A22085" w:rsidRDefault="00F87A45">
      <w:pPr>
        <w:pStyle w:val="NoSpacing"/>
        <w:numPr>
          <w:ilvl w:val="0"/>
          <w:numId w:val="5"/>
        </w:numPr>
        <w:ind w:left="1260"/>
      </w:pPr>
      <w:r w:rsidRPr="00A22085">
        <w:rPr>
          <w:color w:val="000000"/>
        </w:rPr>
        <w:t>a business plan showing adequate financial resources and the project’s long term viability,</w:t>
      </w:r>
    </w:p>
    <w:p w:rsidR="00EF3D22" w:rsidRPr="00A22085" w:rsidRDefault="00F87A45">
      <w:pPr>
        <w:pStyle w:val="NoSpacing"/>
        <w:numPr>
          <w:ilvl w:val="0"/>
          <w:numId w:val="5"/>
        </w:numPr>
        <w:ind w:left="1260"/>
      </w:pPr>
      <w:r w:rsidRPr="00A22085">
        <w:rPr>
          <w:color w:val="000000"/>
        </w:rPr>
        <w:t xml:space="preserve">any empty or old buildings being removed or brought back into use, </w:t>
      </w:r>
    </w:p>
    <w:p w:rsidR="00EF3D22" w:rsidRPr="00A22085" w:rsidRDefault="00F87A45">
      <w:pPr>
        <w:pStyle w:val="NoSpacing"/>
        <w:numPr>
          <w:ilvl w:val="0"/>
          <w:numId w:val="5"/>
        </w:numPr>
        <w:ind w:left="1260"/>
      </w:pPr>
      <w:r w:rsidRPr="00A22085">
        <w:rPr>
          <w:color w:val="000000"/>
        </w:rPr>
        <w:t>synergies with other town businesses,</w:t>
      </w:r>
    </w:p>
    <w:p w:rsidR="007622D9" w:rsidRPr="00A22085" w:rsidRDefault="00F87A45">
      <w:pPr>
        <w:pStyle w:val="NoSpacing"/>
        <w:numPr>
          <w:ilvl w:val="0"/>
          <w:numId w:val="5"/>
        </w:numPr>
        <w:ind w:left="1260"/>
        <w:rPr>
          <w:color w:val="000000"/>
        </w:rPr>
      </w:pPr>
      <w:proofErr w:type="gramStart"/>
      <w:r w:rsidRPr="00A22085">
        <w:rPr>
          <w:color w:val="000000"/>
        </w:rPr>
        <w:t>a</w:t>
      </w:r>
      <w:proofErr w:type="gramEnd"/>
      <w:r w:rsidRPr="00A22085">
        <w:rPr>
          <w:color w:val="000000"/>
        </w:rPr>
        <w:t xml:space="preserve"> summary of overall benefits of the project to Shelburne. </w:t>
      </w:r>
    </w:p>
    <w:p w:rsidR="007622D9" w:rsidRPr="00A22085" w:rsidRDefault="007622D9">
      <w:pPr>
        <w:suppressAutoHyphens w:val="0"/>
        <w:rPr>
          <w:rFonts w:ascii="Verdana" w:eastAsia="Calibri" w:hAnsi="Verdana" w:cs="Times New Roman"/>
          <w:color w:val="000000"/>
          <w:kern w:val="0"/>
          <w:sz w:val="20"/>
          <w:szCs w:val="20"/>
          <w:lang w:eastAsia="en-US" w:bidi="ar-SA"/>
        </w:rPr>
      </w:pPr>
      <w:r w:rsidRPr="00A22085">
        <w:rPr>
          <w:color w:val="000000"/>
        </w:rPr>
        <w:br w:type="page"/>
      </w:r>
    </w:p>
    <w:p w:rsidR="00EF3D22" w:rsidRPr="00A22085" w:rsidRDefault="00F87A45">
      <w:pPr>
        <w:pStyle w:val="NoSpacing"/>
        <w:ind w:left="1260"/>
      </w:pPr>
      <w:r w:rsidRPr="00A22085">
        <w:rPr>
          <w:color w:val="000000"/>
        </w:rPr>
        <w:lastRenderedPageBreak/>
        <w:t xml:space="preserve"> </w:t>
      </w:r>
    </w:p>
    <w:p w:rsidR="00EF3D22" w:rsidRPr="00A22085" w:rsidRDefault="00F87A45">
      <w:pPr>
        <w:pStyle w:val="Standard"/>
        <w:numPr>
          <w:ilvl w:val="0"/>
          <w:numId w:val="4"/>
        </w:numPr>
        <w:tabs>
          <w:tab w:val="left" w:pos="-3630"/>
        </w:tabs>
        <w:spacing w:after="120"/>
        <w:ind w:left="540" w:hanging="540"/>
      </w:pPr>
      <w:r w:rsidRPr="00A22085">
        <w:rPr>
          <w:rFonts w:ascii="Verdana" w:hAnsi="Verdana"/>
          <w:color w:val="000000"/>
          <w:sz w:val="20"/>
          <w:szCs w:val="20"/>
        </w:rPr>
        <w:t xml:space="preserve">Concurrently the applicant should obtain from the Board of Assessors certification of the current tax base for the proposed property and any existing buildings. </w:t>
      </w:r>
    </w:p>
    <w:p w:rsidR="00EF3D22" w:rsidRPr="00A22085" w:rsidRDefault="00F87A45">
      <w:pPr>
        <w:pStyle w:val="Standard"/>
        <w:numPr>
          <w:ilvl w:val="0"/>
          <w:numId w:val="4"/>
        </w:numPr>
        <w:tabs>
          <w:tab w:val="left" w:pos="-3630"/>
        </w:tabs>
        <w:spacing w:after="120"/>
        <w:ind w:left="540" w:hanging="540"/>
      </w:pPr>
      <w:r w:rsidRPr="00A22085">
        <w:rPr>
          <w:rFonts w:ascii="Verdana" w:hAnsi="Verdana"/>
          <w:color w:val="000000"/>
          <w:sz w:val="20"/>
          <w:szCs w:val="20"/>
        </w:rPr>
        <w:t xml:space="preserve">The Applicant may propose a preliminary tax relief structure including number of years and percentage tax relief in each year.  This proposal should show the current tax assessment, the amount of new investment in each year, the requested tax relief in each year and the remaining taxes due.  All taxes are calculated at the current tax rate.  </w:t>
      </w:r>
      <w:r w:rsidRPr="00A22085">
        <w:rPr>
          <w:rFonts w:ascii="Verdana" w:hAnsi="Verdana"/>
          <w:sz w:val="20"/>
          <w:szCs w:val="20"/>
        </w:rPr>
        <w:t xml:space="preserve">The tax relief will start when the assessed value reflects the full value of the new investment, and will run for the term of the TIF. </w:t>
      </w:r>
    </w:p>
    <w:p w:rsidR="00EF3D22" w:rsidRPr="00A22085" w:rsidRDefault="00F87A45">
      <w:pPr>
        <w:pStyle w:val="Standard"/>
        <w:numPr>
          <w:ilvl w:val="0"/>
          <w:numId w:val="4"/>
        </w:numPr>
        <w:tabs>
          <w:tab w:val="left" w:pos="-3630"/>
        </w:tabs>
        <w:spacing w:after="120"/>
        <w:ind w:left="540" w:hanging="540"/>
      </w:pPr>
      <w:r w:rsidRPr="00A22085">
        <w:rPr>
          <w:rFonts w:ascii="Verdana" w:hAnsi="Verdana"/>
          <w:color w:val="000000"/>
          <w:sz w:val="20"/>
          <w:szCs w:val="20"/>
        </w:rPr>
        <w:t xml:space="preserve">The </w:t>
      </w:r>
      <w:r w:rsidRPr="00A22085">
        <w:rPr>
          <w:rFonts w:ascii="Verdana" w:hAnsi="Verdana"/>
          <w:sz w:val="20"/>
          <w:szCs w:val="20"/>
        </w:rPr>
        <w:t xml:space="preserve">TIF Evaluation Committee will review the full application, requests any necessary additional data, evaluate the benefits and costs to Shelburne of the proposal and then makes a recommendation to the Shelburne Select Board. </w:t>
      </w:r>
    </w:p>
    <w:p w:rsidR="00EF3D22" w:rsidRPr="00A22085" w:rsidRDefault="00F87A45">
      <w:pPr>
        <w:pStyle w:val="Standard"/>
        <w:numPr>
          <w:ilvl w:val="0"/>
          <w:numId w:val="4"/>
        </w:numPr>
        <w:tabs>
          <w:tab w:val="left" w:pos="-3630"/>
        </w:tabs>
        <w:spacing w:after="120"/>
        <w:ind w:left="540" w:hanging="540"/>
      </w:pPr>
      <w:r w:rsidRPr="00A22085">
        <w:rPr>
          <w:rFonts w:ascii="Verdana" w:hAnsi="Verdana"/>
          <w:sz w:val="20"/>
          <w:szCs w:val="20"/>
        </w:rPr>
        <w:t xml:space="preserve">The Finance Committee will also evaluate the TIF’s impact on the town’s financial health and provide a recommendation to the Select Board. </w:t>
      </w:r>
    </w:p>
    <w:p w:rsidR="00EF3D22" w:rsidRPr="00A22085" w:rsidRDefault="00F87A45">
      <w:pPr>
        <w:pStyle w:val="Standard"/>
        <w:numPr>
          <w:ilvl w:val="0"/>
          <w:numId w:val="4"/>
        </w:numPr>
        <w:tabs>
          <w:tab w:val="left" w:pos="-3630"/>
        </w:tabs>
        <w:spacing w:after="120"/>
        <w:ind w:left="540" w:hanging="540"/>
      </w:pPr>
      <w:r w:rsidRPr="00A22085">
        <w:rPr>
          <w:rFonts w:ascii="Verdana" w:hAnsi="Verdana"/>
          <w:sz w:val="20"/>
          <w:szCs w:val="20"/>
        </w:rPr>
        <w:t xml:space="preserve">The applicant then submits the application to the Select Board for its approval and then to Town Meeting, for its approval. </w:t>
      </w:r>
    </w:p>
    <w:p w:rsidR="00EF3D22" w:rsidRPr="00A22085" w:rsidRDefault="00F87A45">
      <w:pPr>
        <w:pStyle w:val="Standard"/>
        <w:numPr>
          <w:ilvl w:val="0"/>
          <w:numId w:val="4"/>
        </w:numPr>
        <w:tabs>
          <w:tab w:val="left" w:pos="-3630"/>
        </w:tabs>
        <w:spacing w:after="120"/>
        <w:ind w:left="540" w:hanging="540"/>
      </w:pPr>
      <w:r w:rsidRPr="00A22085">
        <w:rPr>
          <w:rFonts w:ascii="Verdana" w:hAnsi="Verdana"/>
          <w:color w:val="000000"/>
          <w:sz w:val="20"/>
          <w:szCs w:val="20"/>
        </w:rPr>
        <w:t>If the application is denied the applicant may modify the application and resubmit it. If the Select Board denies the subsequent application, the applicant may petition Town Meeting for approval.</w:t>
      </w:r>
    </w:p>
    <w:p w:rsidR="00EF3D22" w:rsidRPr="00A22085" w:rsidRDefault="00F87A45">
      <w:pPr>
        <w:pStyle w:val="Standard"/>
        <w:numPr>
          <w:ilvl w:val="0"/>
          <w:numId w:val="4"/>
        </w:numPr>
        <w:tabs>
          <w:tab w:val="left" w:pos="-3630"/>
        </w:tabs>
        <w:spacing w:after="120"/>
        <w:ind w:left="540" w:hanging="540"/>
      </w:pPr>
      <w:r w:rsidRPr="00A22085">
        <w:rPr>
          <w:rFonts w:ascii="Verdana" w:hAnsi="Verdana"/>
          <w:sz w:val="20"/>
          <w:szCs w:val="20"/>
        </w:rPr>
        <w:t>In the event the TIF Evaluation Committee and the Select Board arrive at significantly different conclusions, the Committee and the Select Board will meet to attempt to resolve their differences.  In the case were they continue to disagree, if the applicant wishes to proceed, the Select Board may include the TIF on the warrant and add its recommendation.  Then the TIF Committee may present its recommendations and reasoning.</w:t>
      </w:r>
      <w:r w:rsidRPr="00A22085">
        <w:rPr>
          <w:rFonts w:ascii="Verdana" w:hAnsi="Verdana"/>
          <w:color w:val="C00000"/>
          <w:sz w:val="20"/>
          <w:szCs w:val="20"/>
        </w:rPr>
        <w:t xml:space="preserve">  </w:t>
      </w:r>
      <w:r w:rsidRPr="00A22085">
        <w:rPr>
          <w:rFonts w:ascii="Verdana" w:hAnsi="Verdana"/>
          <w:sz w:val="20"/>
          <w:szCs w:val="20"/>
        </w:rPr>
        <w:t xml:space="preserve">Alternatively the applicant may petition Town Meeting directly and present its proposal.  Then Town Meeting will decide.  </w:t>
      </w:r>
    </w:p>
    <w:p w:rsidR="00EF3D22" w:rsidRPr="00A22085" w:rsidRDefault="00F87A45">
      <w:pPr>
        <w:pStyle w:val="Standard"/>
        <w:numPr>
          <w:ilvl w:val="0"/>
          <w:numId w:val="4"/>
        </w:numPr>
        <w:tabs>
          <w:tab w:val="left" w:pos="-3630"/>
        </w:tabs>
        <w:spacing w:after="120"/>
        <w:ind w:left="540" w:hanging="540"/>
        <w:rPr>
          <w:rFonts w:ascii="Verdana" w:hAnsi="Verdana"/>
          <w:sz w:val="20"/>
          <w:szCs w:val="20"/>
        </w:rPr>
      </w:pPr>
      <w:r w:rsidRPr="00A22085">
        <w:rPr>
          <w:rFonts w:ascii="Verdana" w:hAnsi="Verdana"/>
          <w:sz w:val="20"/>
          <w:szCs w:val="20"/>
        </w:rPr>
        <w:t>After receiving local approvals, the applicant submits the entire package to the Massachusetts EACC for its approval. The EACC has 90 days to make a decision.</w:t>
      </w:r>
    </w:p>
    <w:p w:rsidR="00EF3D22" w:rsidRPr="00A22085" w:rsidRDefault="00F87A45">
      <w:pPr>
        <w:pStyle w:val="Standard"/>
        <w:numPr>
          <w:ilvl w:val="0"/>
          <w:numId w:val="4"/>
        </w:numPr>
        <w:tabs>
          <w:tab w:val="left" w:pos="-3630"/>
        </w:tabs>
        <w:spacing w:after="120"/>
        <w:ind w:left="540" w:hanging="540"/>
      </w:pPr>
      <w:r w:rsidRPr="00A22085">
        <w:rPr>
          <w:rFonts w:ascii="Verdana" w:hAnsi="Verdana"/>
          <w:sz w:val="20"/>
          <w:szCs w:val="20"/>
        </w:rPr>
        <w:t xml:space="preserve">After EACC approval all projects are subject to annual review and monitoring to ensure compliance with the terms of the agreement.  State law requires the applicant to submit an annual report to the Shelburne Select Board and the EACC.  The form for reporting may be found at: </w:t>
      </w:r>
      <w:hyperlink r:id="rId7" w:history="1">
        <w:r w:rsidRPr="00A22085">
          <w:rPr>
            <w:rStyle w:val="Hyperlink"/>
            <w:rFonts w:ascii="Verdana" w:hAnsi="Verdana"/>
            <w:sz w:val="20"/>
            <w:szCs w:val="20"/>
          </w:rPr>
          <w:t>http://www.mass.gov/hed/economic/eohed/bd/econ-development/reporting/</w:t>
        </w:r>
      </w:hyperlink>
      <w:r w:rsidRPr="00A22085">
        <w:rPr>
          <w:rFonts w:ascii="Verdana" w:hAnsi="Verdana"/>
          <w:color w:val="FF0000"/>
          <w:sz w:val="20"/>
          <w:szCs w:val="20"/>
        </w:rPr>
        <w:t xml:space="preserve"> </w:t>
      </w:r>
    </w:p>
    <w:p w:rsidR="00EF3D22" w:rsidRPr="00A22085" w:rsidRDefault="00F87A45">
      <w:pPr>
        <w:pStyle w:val="Standard"/>
        <w:numPr>
          <w:ilvl w:val="0"/>
          <w:numId w:val="4"/>
        </w:numPr>
        <w:tabs>
          <w:tab w:val="left" w:pos="-3630"/>
        </w:tabs>
        <w:spacing w:after="120"/>
        <w:ind w:left="540" w:hanging="540"/>
      </w:pPr>
      <w:r w:rsidRPr="00A22085">
        <w:rPr>
          <w:rFonts w:ascii="Verdana" w:hAnsi="Verdana"/>
          <w:sz w:val="20"/>
          <w:szCs w:val="20"/>
        </w:rPr>
        <w:t>Failure to submit a yearly annual report to the Shelburne Select Board and the EACC is grounds for project decertification.  Also the EACC will decertify any projects not meeting the employment or investment terms.</w:t>
      </w:r>
    </w:p>
    <w:p w:rsidR="00EF3D22" w:rsidRPr="00A22085" w:rsidRDefault="00EF3D22">
      <w:pPr>
        <w:pStyle w:val="Standard"/>
        <w:tabs>
          <w:tab w:val="left" w:pos="1410"/>
        </w:tabs>
        <w:rPr>
          <w:rFonts w:ascii="Verdana" w:hAnsi="Verdana"/>
          <w:sz w:val="20"/>
          <w:szCs w:val="20"/>
          <w:u w:val="single"/>
        </w:rPr>
      </w:pPr>
    </w:p>
    <w:p w:rsidR="00EF3D22" w:rsidRPr="00A22085" w:rsidRDefault="00F87A45">
      <w:pPr>
        <w:pStyle w:val="Standard"/>
        <w:tabs>
          <w:tab w:val="left" w:pos="1410"/>
        </w:tabs>
        <w:rPr>
          <w:rFonts w:ascii="Verdana" w:hAnsi="Verdana"/>
          <w:sz w:val="20"/>
          <w:szCs w:val="20"/>
          <w:u w:val="single"/>
        </w:rPr>
      </w:pPr>
      <w:r w:rsidRPr="00A22085">
        <w:rPr>
          <w:rFonts w:ascii="Verdana" w:hAnsi="Verdana"/>
          <w:sz w:val="20"/>
          <w:szCs w:val="20"/>
          <w:u w:val="single"/>
        </w:rPr>
        <w:t xml:space="preserve">Resources: </w:t>
      </w:r>
    </w:p>
    <w:p w:rsidR="00EF3D22" w:rsidRPr="00A22085" w:rsidRDefault="00E73731">
      <w:pPr>
        <w:pStyle w:val="Standard"/>
        <w:tabs>
          <w:tab w:val="left" w:pos="1410"/>
        </w:tabs>
      </w:pPr>
      <w:hyperlink r:id="rId8" w:history="1">
        <w:r w:rsidR="00F87A45" w:rsidRPr="00A22085">
          <w:rPr>
            <w:rStyle w:val="Hyperlink"/>
            <w:rFonts w:ascii="Verdana" w:hAnsi="Verdana"/>
            <w:sz w:val="20"/>
            <w:szCs w:val="20"/>
          </w:rPr>
          <w:t>http://www.mass.gov</w:t>
        </w:r>
      </w:hyperlink>
      <w:r w:rsidR="00F87A45" w:rsidRPr="00A22085">
        <w:rPr>
          <w:rFonts w:ascii="Verdana" w:hAnsi="Verdana"/>
          <w:sz w:val="20"/>
          <w:szCs w:val="20"/>
        </w:rPr>
        <w:tab/>
        <w:t>Massachusetts Office of Business Development</w:t>
      </w:r>
    </w:p>
    <w:p w:rsidR="00EF3D22" w:rsidRPr="00A22085" w:rsidRDefault="00F87A45">
      <w:pPr>
        <w:pStyle w:val="Standard"/>
        <w:tabs>
          <w:tab w:val="left" w:pos="1410"/>
        </w:tabs>
        <w:rPr>
          <w:rFonts w:ascii="Verdana" w:hAnsi="Verdana"/>
          <w:sz w:val="20"/>
          <w:szCs w:val="20"/>
        </w:rPr>
      </w:pPr>
      <w:r w:rsidRPr="00A22085">
        <w:rPr>
          <w:rFonts w:ascii="Verdana" w:hAnsi="Verdana"/>
          <w:sz w:val="20"/>
          <w:szCs w:val="20"/>
        </w:rPr>
        <w:tab/>
      </w:r>
      <w:r w:rsidRPr="00A22085">
        <w:rPr>
          <w:rFonts w:ascii="Verdana" w:hAnsi="Verdana"/>
          <w:sz w:val="20"/>
          <w:szCs w:val="20"/>
        </w:rPr>
        <w:tab/>
      </w:r>
      <w:r w:rsidRPr="00A22085">
        <w:rPr>
          <w:rFonts w:ascii="Verdana" w:hAnsi="Verdana"/>
          <w:sz w:val="20"/>
          <w:szCs w:val="20"/>
        </w:rPr>
        <w:tab/>
      </w:r>
      <w:r w:rsidRPr="00A22085">
        <w:rPr>
          <w:rFonts w:ascii="Verdana" w:hAnsi="Verdana"/>
          <w:sz w:val="20"/>
          <w:szCs w:val="20"/>
        </w:rPr>
        <w:tab/>
        <w:t>Tax Increment Financing</w:t>
      </w:r>
    </w:p>
    <w:p w:rsidR="00EF3D22" w:rsidRPr="00A22085" w:rsidRDefault="00EF3D22">
      <w:pPr>
        <w:pStyle w:val="Standard"/>
        <w:tabs>
          <w:tab w:val="left" w:pos="1410"/>
        </w:tabs>
        <w:rPr>
          <w:rFonts w:ascii="Verdana" w:hAnsi="Verdana"/>
          <w:sz w:val="20"/>
          <w:szCs w:val="20"/>
        </w:rPr>
      </w:pPr>
    </w:p>
    <w:p w:rsidR="00EF3D22" w:rsidRPr="00A22085" w:rsidRDefault="00E73731">
      <w:pPr>
        <w:pStyle w:val="Standard"/>
        <w:tabs>
          <w:tab w:val="left" w:pos="1410"/>
        </w:tabs>
      </w:pPr>
      <w:hyperlink r:id="rId9" w:history="1">
        <w:r w:rsidR="00F87A45" w:rsidRPr="00A22085">
          <w:rPr>
            <w:rStyle w:val="Hyperlink"/>
            <w:rFonts w:ascii="Verdana" w:hAnsi="Verdana"/>
            <w:sz w:val="20"/>
            <w:szCs w:val="20"/>
          </w:rPr>
          <w:t>http://www.mass.gov/hed/economic/eohed/bd/econ-development/</w:t>
        </w:r>
      </w:hyperlink>
    </w:p>
    <w:p w:rsidR="00EF3D22" w:rsidRPr="00A22085" w:rsidRDefault="00F87A45">
      <w:pPr>
        <w:pStyle w:val="Standard"/>
        <w:tabs>
          <w:tab w:val="left" w:pos="1410"/>
        </w:tabs>
        <w:rPr>
          <w:rFonts w:ascii="Verdana" w:hAnsi="Verdana"/>
          <w:sz w:val="20"/>
          <w:szCs w:val="20"/>
        </w:rPr>
      </w:pPr>
      <w:r w:rsidRPr="00A22085">
        <w:rPr>
          <w:rFonts w:ascii="Verdana" w:hAnsi="Verdana"/>
          <w:sz w:val="20"/>
          <w:szCs w:val="20"/>
        </w:rPr>
        <w:tab/>
      </w:r>
      <w:r w:rsidRPr="00A22085">
        <w:rPr>
          <w:rFonts w:ascii="Verdana" w:hAnsi="Verdana"/>
          <w:sz w:val="20"/>
          <w:szCs w:val="20"/>
        </w:rPr>
        <w:tab/>
      </w:r>
      <w:r w:rsidRPr="00A22085">
        <w:rPr>
          <w:rFonts w:ascii="Verdana" w:hAnsi="Verdana"/>
          <w:sz w:val="20"/>
          <w:szCs w:val="20"/>
        </w:rPr>
        <w:tab/>
      </w:r>
      <w:r w:rsidRPr="00A22085">
        <w:rPr>
          <w:rFonts w:ascii="Verdana" w:hAnsi="Verdana"/>
          <w:sz w:val="20"/>
          <w:szCs w:val="20"/>
        </w:rPr>
        <w:tab/>
        <w:t>Massachusetts Office of Housing and Development</w:t>
      </w:r>
    </w:p>
    <w:p w:rsidR="00EF3D22" w:rsidRPr="00A22085" w:rsidRDefault="00F87A45">
      <w:pPr>
        <w:pStyle w:val="Standard"/>
        <w:tabs>
          <w:tab w:val="left" w:pos="1410"/>
        </w:tabs>
        <w:rPr>
          <w:rFonts w:ascii="Verdana" w:hAnsi="Verdana"/>
          <w:sz w:val="20"/>
          <w:szCs w:val="20"/>
        </w:rPr>
      </w:pPr>
      <w:r w:rsidRPr="00A22085">
        <w:rPr>
          <w:rFonts w:ascii="Verdana" w:hAnsi="Verdana"/>
          <w:sz w:val="20"/>
          <w:szCs w:val="20"/>
        </w:rPr>
        <w:tab/>
      </w:r>
      <w:r w:rsidRPr="00A22085">
        <w:rPr>
          <w:rFonts w:ascii="Verdana" w:hAnsi="Verdana"/>
          <w:sz w:val="20"/>
          <w:szCs w:val="20"/>
        </w:rPr>
        <w:tab/>
      </w:r>
      <w:r w:rsidRPr="00A22085">
        <w:rPr>
          <w:rFonts w:ascii="Verdana" w:hAnsi="Verdana"/>
          <w:sz w:val="20"/>
          <w:szCs w:val="20"/>
        </w:rPr>
        <w:tab/>
      </w:r>
      <w:r w:rsidRPr="00A22085">
        <w:rPr>
          <w:rFonts w:ascii="Verdana" w:hAnsi="Verdana"/>
          <w:sz w:val="20"/>
          <w:szCs w:val="20"/>
        </w:rPr>
        <w:tab/>
        <w:t>Economic Development Incentive Program (EDIP)</w:t>
      </w:r>
    </w:p>
    <w:p w:rsidR="00EF3D22" w:rsidRPr="00A22085" w:rsidRDefault="00EF3D22">
      <w:pPr>
        <w:pStyle w:val="Standard"/>
        <w:tabs>
          <w:tab w:val="left" w:pos="1410"/>
        </w:tabs>
        <w:rPr>
          <w:rFonts w:ascii="Verdana" w:hAnsi="Verdana"/>
          <w:sz w:val="20"/>
          <w:szCs w:val="20"/>
        </w:rPr>
      </w:pPr>
    </w:p>
    <w:p w:rsidR="00EF3D22" w:rsidRPr="00A22085" w:rsidRDefault="00E73731">
      <w:pPr>
        <w:pStyle w:val="Standard"/>
        <w:tabs>
          <w:tab w:val="left" w:pos="1410"/>
        </w:tabs>
      </w:pPr>
      <w:hyperlink r:id="rId10" w:history="1">
        <w:r w:rsidR="00F87A45" w:rsidRPr="00A22085">
          <w:rPr>
            <w:rStyle w:val="Hyperlink"/>
            <w:rFonts w:ascii="Verdana" w:hAnsi="Verdana"/>
            <w:sz w:val="20"/>
            <w:szCs w:val="20"/>
          </w:rPr>
          <w:t>selectboard@townofshelburne.com</w:t>
        </w:r>
      </w:hyperlink>
    </w:p>
    <w:p w:rsidR="00EF3D22" w:rsidRPr="00A22085" w:rsidRDefault="00F87A45">
      <w:pPr>
        <w:pStyle w:val="Standard"/>
        <w:tabs>
          <w:tab w:val="left" w:pos="1410"/>
        </w:tabs>
        <w:rPr>
          <w:rFonts w:ascii="Verdana" w:hAnsi="Verdana"/>
          <w:sz w:val="20"/>
          <w:szCs w:val="20"/>
        </w:rPr>
      </w:pPr>
      <w:r w:rsidRPr="00A22085">
        <w:rPr>
          <w:rFonts w:ascii="Verdana" w:hAnsi="Verdana"/>
          <w:sz w:val="20"/>
          <w:szCs w:val="20"/>
        </w:rPr>
        <w:tab/>
      </w:r>
      <w:r w:rsidRPr="00A22085">
        <w:rPr>
          <w:rFonts w:ascii="Verdana" w:hAnsi="Verdana"/>
          <w:sz w:val="20"/>
          <w:szCs w:val="20"/>
        </w:rPr>
        <w:tab/>
      </w:r>
      <w:r w:rsidRPr="00A22085">
        <w:rPr>
          <w:rFonts w:ascii="Verdana" w:hAnsi="Verdana"/>
          <w:sz w:val="20"/>
          <w:szCs w:val="20"/>
        </w:rPr>
        <w:tab/>
      </w:r>
      <w:r w:rsidRPr="00A22085">
        <w:rPr>
          <w:rFonts w:ascii="Verdana" w:hAnsi="Verdana"/>
          <w:sz w:val="20"/>
          <w:szCs w:val="20"/>
        </w:rPr>
        <w:tab/>
        <w:t>Terry Narkewicz, Town Administrator</w:t>
      </w:r>
    </w:p>
    <w:p w:rsidR="00EF3D22" w:rsidRPr="00A22085" w:rsidRDefault="00F87A45">
      <w:pPr>
        <w:pStyle w:val="Standard"/>
        <w:tabs>
          <w:tab w:val="left" w:pos="1410"/>
        </w:tabs>
        <w:rPr>
          <w:rFonts w:ascii="Verdana" w:hAnsi="Verdana"/>
          <w:sz w:val="20"/>
          <w:szCs w:val="20"/>
        </w:rPr>
      </w:pPr>
      <w:r w:rsidRPr="00A22085">
        <w:rPr>
          <w:rFonts w:ascii="Verdana" w:hAnsi="Verdana"/>
          <w:sz w:val="20"/>
          <w:szCs w:val="20"/>
        </w:rPr>
        <w:tab/>
      </w:r>
      <w:r w:rsidRPr="00A22085">
        <w:rPr>
          <w:rFonts w:ascii="Verdana" w:hAnsi="Verdana"/>
          <w:sz w:val="20"/>
          <w:szCs w:val="20"/>
        </w:rPr>
        <w:tab/>
      </w:r>
      <w:r w:rsidRPr="00A22085">
        <w:rPr>
          <w:rFonts w:ascii="Verdana" w:hAnsi="Verdana"/>
          <w:sz w:val="20"/>
          <w:szCs w:val="20"/>
        </w:rPr>
        <w:tab/>
      </w:r>
      <w:r w:rsidRPr="00A22085">
        <w:rPr>
          <w:rFonts w:ascii="Verdana" w:hAnsi="Verdana"/>
          <w:sz w:val="20"/>
          <w:szCs w:val="20"/>
        </w:rPr>
        <w:tab/>
        <w:t>Town of Shelburne</w:t>
      </w:r>
    </w:p>
    <w:p w:rsidR="00EF3D22" w:rsidRPr="00A22085" w:rsidRDefault="00F87A45">
      <w:pPr>
        <w:pStyle w:val="Standard"/>
        <w:tabs>
          <w:tab w:val="left" w:pos="1410"/>
        </w:tabs>
        <w:rPr>
          <w:rFonts w:ascii="Verdana" w:hAnsi="Verdana"/>
          <w:sz w:val="20"/>
          <w:szCs w:val="20"/>
        </w:rPr>
      </w:pPr>
      <w:r w:rsidRPr="00A22085">
        <w:rPr>
          <w:rFonts w:ascii="Verdana" w:hAnsi="Verdana"/>
          <w:sz w:val="20"/>
          <w:szCs w:val="20"/>
        </w:rPr>
        <w:tab/>
      </w:r>
      <w:r w:rsidRPr="00A22085">
        <w:rPr>
          <w:rFonts w:ascii="Verdana" w:hAnsi="Verdana"/>
          <w:sz w:val="20"/>
          <w:szCs w:val="20"/>
        </w:rPr>
        <w:tab/>
      </w:r>
      <w:r w:rsidRPr="00A22085">
        <w:rPr>
          <w:rFonts w:ascii="Verdana" w:hAnsi="Verdana"/>
          <w:sz w:val="20"/>
          <w:szCs w:val="20"/>
        </w:rPr>
        <w:tab/>
      </w:r>
      <w:r w:rsidRPr="00A22085">
        <w:rPr>
          <w:rFonts w:ascii="Verdana" w:hAnsi="Verdana"/>
          <w:sz w:val="20"/>
          <w:szCs w:val="20"/>
        </w:rPr>
        <w:tab/>
        <w:t>51 Bridge Street</w:t>
      </w:r>
    </w:p>
    <w:p w:rsidR="00EF3D22" w:rsidRPr="00A22085" w:rsidRDefault="00F87A45">
      <w:pPr>
        <w:pStyle w:val="Standard"/>
        <w:tabs>
          <w:tab w:val="left" w:pos="1410"/>
        </w:tabs>
        <w:rPr>
          <w:rFonts w:ascii="Verdana" w:hAnsi="Verdana"/>
          <w:sz w:val="20"/>
          <w:szCs w:val="20"/>
        </w:rPr>
      </w:pPr>
      <w:r w:rsidRPr="00A22085">
        <w:rPr>
          <w:rFonts w:ascii="Verdana" w:hAnsi="Verdana"/>
          <w:sz w:val="20"/>
          <w:szCs w:val="20"/>
        </w:rPr>
        <w:tab/>
      </w:r>
      <w:r w:rsidRPr="00A22085">
        <w:rPr>
          <w:rFonts w:ascii="Verdana" w:hAnsi="Verdana"/>
          <w:sz w:val="20"/>
          <w:szCs w:val="20"/>
        </w:rPr>
        <w:tab/>
      </w:r>
      <w:r w:rsidRPr="00A22085">
        <w:rPr>
          <w:rFonts w:ascii="Verdana" w:hAnsi="Verdana"/>
          <w:sz w:val="20"/>
          <w:szCs w:val="20"/>
        </w:rPr>
        <w:tab/>
      </w:r>
      <w:r w:rsidRPr="00A22085">
        <w:rPr>
          <w:rFonts w:ascii="Verdana" w:hAnsi="Verdana"/>
          <w:sz w:val="20"/>
          <w:szCs w:val="20"/>
        </w:rPr>
        <w:tab/>
        <w:t>Shelburne Falls, MA 01370</w:t>
      </w:r>
    </w:p>
    <w:p w:rsidR="00EF3D22" w:rsidRPr="00A22085" w:rsidRDefault="00F87A45">
      <w:pPr>
        <w:pStyle w:val="Standard"/>
        <w:tabs>
          <w:tab w:val="left" w:pos="1410"/>
        </w:tabs>
      </w:pPr>
      <w:r w:rsidRPr="00A22085">
        <w:rPr>
          <w:rFonts w:ascii="Verdana" w:hAnsi="Verdana"/>
          <w:sz w:val="20"/>
          <w:szCs w:val="20"/>
        </w:rPr>
        <w:tab/>
      </w:r>
      <w:r w:rsidRPr="00A22085">
        <w:rPr>
          <w:rFonts w:ascii="Verdana" w:hAnsi="Verdana"/>
          <w:sz w:val="20"/>
          <w:szCs w:val="20"/>
        </w:rPr>
        <w:tab/>
      </w:r>
      <w:r w:rsidRPr="00A22085">
        <w:rPr>
          <w:rFonts w:ascii="Verdana" w:hAnsi="Verdana"/>
          <w:sz w:val="20"/>
          <w:szCs w:val="20"/>
        </w:rPr>
        <w:tab/>
      </w:r>
      <w:r w:rsidRPr="00A22085">
        <w:rPr>
          <w:rFonts w:ascii="Verdana" w:hAnsi="Verdana"/>
          <w:sz w:val="20"/>
          <w:szCs w:val="20"/>
        </w:rPr>
        <w:tab/>
        <w:t>(413) 625-0300</w:t>
      </w:r>
    </w:p>
    <w:p w:rsidR="00EF3D22" w:rsidRPr="00A22085" w:rsidRDefault="00EF3D22">
      <w:pPr>
        <w:pStyle w:val="Standard"/>
        <w:tabs>
          <w:tab w:val="left" w:pos="1410"/>
        </w:tabs>
        <w:jc w:val="center"/>
        <w:rPr>
          <w:color w:val="FF0000"/>
        </w:rPr>
      </w:pPr>
    </w:p>
    <w:p w:rsidR="00EF3D22" w:rsidRPr="00A22085" w:rsidRDefault="00E73731">
      <w:pPr>
        <w:pStyle w:val="Standard"/>
        <w:tabs>
          <w:tab w:val="left" w:pos="1410"/>
        </w:tabs>
      </w:pPr>
      <w:hyperlink r:id="rId11" w:history="1">
        <w:r w:rsidR="00F87A45" w:rsidRPr="00A22085">
          <w:rPr>
            <w:rStyle w:val="Hyperlink"/>
            <w:rFonts w:ascii="Verdana" w:hAnsi="Verdana"/>
            <w:sz w:val="20"/>
            <w:szCs w:val="20"/>
          </w:rPr>
          <w:t>EDIPAnnualReport@state.ma.us</w:t>
        </w:r>
      </w:hyperlink>
      <w:r w:rsidR="00F87A45" w:rsidRPr="00A22085">
        <w:rPr>
          <w:rFonts w:ascii="Verdana" w:hAnsi="Verdana"/>
          <w:sz w:val="20"/>
          <w:szCs w:val="20"/>
        </w:rPr>
        <w:t xml:space="preserve"> </w:t>
      </w:r>
    </w:p>
    <w:p w:rsidR="00EF3D22" w:rsidRPr="00A22085" w:rsidRDefault="00F87A45">
      <w:pPr>
        <w:pStyle w:val="Standard"/>
        <w:tabs>
          <w:tab w:val="left" w:pos="1410"/>
        </w:tabs>
        <w:rPr>
          <w:rFonts w:ascii="Verdana" w:hAnsi="Verdana"/>
          <w:sz w:val="20"/>
          <w:szCs w:val="20"/>
        </w:rPr>
      </w:pPr>
      <w:r w:rsidRPr="00A22085">
        <w:rPr>
          <w:rFonts w:ascii="Verdana" w:hAnsi="Verdana"/>
          <w:sz w:val="20"/>
          <w:szCs w:val="20"/>
        </w:rPr>
        <w:tab/>
      </w:r>
      <w:r w:rsidRPr="00A22085">
        <w:rPr>
          <w:rFonts w:ascii="Verdana" w:hAnsi="Verdana"/>
          <w:sz w:val="20"/>
          <w:szCs w:val="20"/>
        </w:rPr>
        <w:tab/>
      </w:r>
      <w:r w:rsidRPr="00A22085">
        <w:rPr>
          <w:rFonts w:ascii="Verdana" w:hAnsi="Verdana"/>
          <w:sz w:val="20"/>
          <w:szCs w:val="20"/>
        </w:rPr>
        <w:tab/>
      </w:r>
      <w:r w:rsidRPr="00A22085">
        <w:rPr>
          <w:rFonts w:ascii="Verdana" w:hAnsi="Verdana"/>
          <w:sz w:val="20"/>
          <w:szCs w:val="20"/>
        </w:rPr>
        <w:tab/>
        <w:t>EDIP Annual Reporting</w:t>
      </w:r>
    </w:p>
    <w:p w:rsidR="00EF3D22" w:rsidRPr="00A22085" w:rsidRDefault="00F87A45">
      <w:pPr>
        <w:pStyle w:val="Standard"/>
        <w:tabs>
          <w:tab w:val="left" w:pos="1410"/>
        </w:tabs>
        <w:rPr>
          <w:rFonts w:ascii="Verdana" w:hAnsi="Verdana"/>
          <w:sz w:val="20"/>
          <w:szCs w:val="20"/>
        </w:rPr>
      </w:pPr>
      <w:r w:rsidRPr="00A22085">
        <w:rPr>
          <w:rFonts w:ascii="Verdana" w:hAnsi="Verdana"/>
          <w:sz w:val="20"/>
          <w:szCs w:val="20"/>
        </w:rPr>
        <w:tab/>
      </w:r>
      <w:r w:rsidRPr="00A22085">
        <w:rPr>
          <w:rFonts w:ascii="Verdana" w:hAnsi="Verdana"/>
          <w:sz w:val="20"/>
          <w:szCs w:val="20"/>
        </w:rPr>
        <w:tab/>
      </w:r>
      <w:r w:rsidRPr="00A22085">
        <w:rPr>
          <w:rFonts w:ascii="Verdana" w:hAnsi="Verdana"/>
          <w:sz w:val="20"/>
          <w:szCs w:val="20"/>
        </w:rPr>
        <w:tab/>
      </w:r>
      <w:r w:rsidRPr="00A22085">
        <w:rPr>
          <w:rFonts w:ascii="Verdana" w:hAnsi="Verdana"/>
          <w:sz w:val="20"/>
          <w:szCs w:val="20"/>
        </w:rPr>
        <w:tab/>
        <w:t>Massachusetts Office of Business Development</w:t>
      </w:r>
    </w:p>
    <w:p w:rsidR="00EF3D22" w:rsidRDefault="00F87A45">
      <w:pPr>
        <w:pStyle w:val="Standard"/>
        <w:tabs>
          <w:tab w:val="left" w:pos="1410"/>
        </w:tabs>
        <w:rPr>
          <w:rFonts w:ascii="Verdana" w:hAnsi="Verdana"/>
          <w:sz w:val="20"/>
          <w:szCs w:val="20"/>
        </w:rPr>
      </w:pPr>
      <w:r w:rsidRPr="00A22085">
        <w:rPr>
          <w:rFonts w:ascii="Verdana" w:hAnsi="Verdana"/>
          <w:sz w:val="20"/>
          <w:szCs w:val="20"/>
        </w:rPr>
        <w:tab/>
      </w:r>
      <w:r w:rsidRPr="00A22085">
        <w:rPr>
          <w:rFonts w:ascii="Verdana" w:hAnsi="Verdana"/>
          <w:sz w:val="20"/>
          <w:szCs w:val="20"/>
        </w:rPr>
        <w:tab/>
      </w:r>
      <w:r w:rsidRPr="00A22085">
        <w:rPr>
          <w:rFonts w:ascii="Verdana" w:hAnsi="Verdana"/>
          <w:sz w:val="20"/>
          <w:szCs w:val="20"/>
        </w:rPr>
        <w:tab/>
      </w:r>
      <w:r w:rsidRPr="00A22085">
        <w:rPr>
          <w:rFonts w:ascii="Verdana" w:hAnsi="Verdana"/>
          <w:sz w:val="20"/>
          <w:szCs w:val="20"/>
        </w:rPr>
        <w:tab/>
        <w:t>(617) 973-8536</w:t>
      </w:r>
      <w:bookmarkStart w:id="0" w:name="_GoBack"/>
      <w:bookmarkEnd w:id="0"/>
      <w:r>
        <w:rPr>
          <w:rFonts w:ascii="Verdana" w:hAnsi="Verdana"/>
          <w:sz w:val="20"/>
          <w:szCs w:val="20"/>
        </w:rPr>
        <w:t xml:space="preserve"> </w:t>
      </w:r>
    </w:p>
    <w:p w:rsidR="00EF3D22" w:rsidRDefault="00EF3D22">
      <w:pPr>
        <w:pageBreakBefore/>
        <w:suppressAutoHyphens w:val="0"/>
        <w:rPr>
          <w:rFonts w:ascii="Verdana" w:hAnsi="Verdana"/>
          <w:sz w:val="20"/>
          <w:szCs w:val="20"/>
        </w:rPr>
      </w:pPr>
    </w:p>
    <w:p w:rsidR="00EF3D22" w:rsidRDefault="00F87A45">
      <w:pPr>
        <w:pStyle w:val="Standard"/>
        <w:tabs>
          <w:tab w:val="left" w:pos="1410"/>
        </w:tabs>
        <w:jc w:val="center"/>
        <w:rPr>
          <w:rFonts w:ascii="Verdana" w:hAnsi="Verdana"/>
          <w:sz w:val="20"/>
          <w:szCs w:val="20"/>
          <w:u w:val="single"/>
        </w:rPr>
      </w:pPr>
      <w:r>
        <w:rPr>
          <w:rFonts w:ascii="Verdana" w:hAnsi="Verdana"/>
          <w:sz w:val="20"/>
          <w:szCs w:val="20"/>
          <w:u w:val="single"/>
        </w:rPr>
        <w:t>Schedule A</w:t>
      </w:r>
    </w:p>
    <w:p w:rsidR="00EF3D22" w:rsidRDefault="00F87A45">
      <w:pPr>
        <w:pStyle w:val="Standard"/>
        <w:tabs>
          <w:tab w:val="left" w:pos="1410"/>
        </w:tabs>
        <w:jc w:val="center"/>
        <w:rPr>
          <w:rFonts w:ascii="Verdana" w:hAnsi="Verdana"/>
          <w:b/>
          <w:sz w:val="20"/>
          <w:szCs w:val="20"/>
        </w:rPr>
      </w:pPr>
      <w:r>
        <w:rPr>
          <w:rFonts w:ascii="Verdana" w:hAnsi="Verdana"/>
          <w:b/>
          <w:sz w:val="20"/>
          <w:szCs w:val="20"/>
        </w:rPr>
        <w:t>Local Tax Incentive Criteria</w:t>
      </w:r>
    </w:p>
    <w:p w:rsidR="00EF3D22" w:rsidRDefault="00EF3D22">
      <w:pPr>
        <w:pStyle w:val="Standard"/>
        <w:tabs>
          <w:tab w:val="left" w:pos="1410"/>
        </w:tabs>
        <w:jc w:val="center"/>
        <w:rPr>
          <w:rFonts w:ascii="Verdana" w:hAnsi="Verdana"/>
          <w:sz w:val="20"/>
          <w:szCs w:val="20"/>
        </w:rPr>
      </w:pPr>
    </w:p>
    <w:p w:rsidR="00EF3D22" w:rsidRDefault="00F87A45">
      <w:pPr>
        <w:pStyle w:val="Standard"/>
        <w:tabs>
          <w:tab w:val="left" w:pos="1410"/>
        </w:tabs>
        <w:rPr>
          <w:rFonts w:ascii="Verdana" w:hAnsi="Verdana"/>
          <w:sz w:val="20"/>
          <w:szCs w:val="20"/>
        </w:rPr>
      </w:pPr>
      <w:r>
        <w:rPr>
          <w:rFonts w:ascii="Verdana" w:hAnsi="Verdana"/>
          <w:sz w:val="20"/>
          <w:szCs w:val="20"/>
        </w:rPr>
        <w:t>The Town of Shelburne seeks to advance EDIP projects that stimulate economic development in the community by assisting those endeavors that promote long-term economic vitality, leverage a substantial private investment, foster business growth and job creation opportunities, and promote local economic development goals. The determination for granting local tax incentives will be based on how well a project would advance the following objectives.</w:t>
      </w:r>
    </w:p>
    <w:p w:rsidR="00EF3D22" w:rsidRDefault="00EF3D22">
      <w:pPr>
        <w:pStyle w:val="Standard"/>
        <w:tabs>
          <w:tab w:val="left" w:pos="1410"/>
        </w:tabs>
        <w:rPr>
          <w:rFonts w:ascii="Verdana" w:hAnsi="Verdana"/>
          <w:sz w:val="20"/>
          <w:szCs w:val="20"/>
        </w:rPr>
      </w:pPr>
    </w:p>
    <w:p w:rsidR="00EF3D22" w:rsidRDefault="00F87A45">
      <w:pPr>
        <w:pStyle w:val="Standard"/>
        <w:numPr>
          <w:ilvl w:val="0"/>
          <w:numId w:val="6"/>
        </w:numPr>
        <w:tabs>
          <w:tab w:val="left" w:pos="-12270"/>
        </w:tabs>
      </w:pPr>
      <w:r>
        <w:rPr>
          <w:rFonts w:ascii="Verdana" w:hAnsi="Verdana"/>
          <w:b/>
          <w:sz w:val="20"/>
          <w:szCs w:val="20"/>
        </w:rPr>
        <w:t>Quality Job Creation</w:t>
      </w:r>
      <w:r>
        <w:rPr>
          <w:rFonts w:ascii="Verdana" w:hAnsi="Verdana"/>
          <w:sz w:val="20"/>
          <w:szCs w:val="20"/>
        </w:rPr>
        <w:t xml:space="preserve"> – including the number and types of full and part–time jobs, wages paid and actual net number of new jobs created.</w:t>
      </w:r>
    </w:p>
    <w:p w:rsidR="00EF3D22" w:rsidRDefault="00EF3D22">
      <w:pPr>
        <w:pStyle w:val="Standard"/>
        <w:tabs>
          <w:tab w:val="left" w:pos="1410"/>
        </w:tabs>
        <w:ind w:left="720"/>
        <w:rPr>
          <w:rFonts w:ascii="Verdana" w:hAnsi="Verdana"/>
          <w:sz w:val="20"/>
          <w:szCs w:val="20"/>
        </w:rPr>
      </w:pPr>
    </w:p>
    <w:p w:rsidR="00EF3D22" w:rsidRDefault="00F87A45">
      <w:pPr>
        <w:pStyle w:val="Standard"/>
        <w:numPr>
          <w:ilvl w:val="0"/>
          <w:numId w:val="6"/>
        </w:numPr>
        <w:tabs>
          <w:tab w:val="left" w:pos="-12270"/>
        </w:tabs>
      </w:pPr>
      <w:r>
        <w:rPr>
          <w:rFonts w:ascii="Verdana" w:hAnsi="Verdana"/>
          <w:b/>
          <w:sz w:val="20"/>
          <w:szCs w:val="20"/>
        </w:rPr>
        <w:t>Sizeable Capital Investment</w:t>
      </w:r>
      <w:r>
        <w:rPr>
          <w:rFonts w:ascii="Verdana" w:hAnsi="Verdana"/>
          <w:sz w:val="20"/>
          <w:szCs w:val="20"/>
        </w:rPr>
        <w:t xml:space="preserve"> – new investment including type and potential synergies (plant, equipment, new construction vs. rehabilitation).</w:t>
      </w:r>
    </w:p>
    <w:p w:rsidR="00EF3D22" w:rsidRDefault="00EF3D22">
      <w:pPr>
        <w:pStyle w:val="ListParagraph"/>
        <w:rPr>
          <w:rFonts w:ascii="Verdana" w:hAnsi="Verdana"/>
          <w:sz w:val="20"/>
          <w:szCs w:val="20"/>
        </w:rPr>
      </w:pPr>
    </w:p>
    <w:p w:rsidR="00EF3D22" w:rsidRDefault="00F87A45">
      <w:pPr>
        <w:pStyle w:val="Standard"/>
        <w:numPr>
          <w:ilvl w:val="0"/>
          <w:numId w:val="6"/>
        </w:numPr>
        <w:tabs>
          <w:tab w:val="left" w:pos="-12270"/>
        </w:tabs>
      </w:pPr>
      <w:r>
        <w:rPr>
          <w:rFonts w:ascii="Verdana" w:hAnsi="Verdana"/>
          <w:b/>
          <w:sz w:val="20"/>
          <w:szCs w:val="20"/>
        </w:rPr>
        <w:t>Type and Quality of Business</w:t>
      </w:r>
      <w:r>
        <w:rPr>
          <w:rFonts w:ascii="Verdana" w:hAnsi="Verdana"/>
          <w:sz w:val="20"/>
          <w:szCs w:val="20"/>
        </w:rPr>
        <w:t xml:space="preserve"> </w:t>
      </w:r>
      <w:r>
        <w:rPr>
          <w:rFonts w:ascii="Verdana" w:hAnsi="Verdana"/>
          <w:b/>
          <w:sz w:val="20"/>
          <w:szCs w:val="20"/>
        </w:rPr>
        <w:t>Growth</w:t>
      </w:r>
      <w:r>
        <w:rPr>
          <w:rFonts w:ascii="Verdana" w:hAnsi="Verdana"/>
          <w:sz w:val="20"/>
          <w:szCs w:val="20"/>
        </w:rPr>
        <w:t xml:space="preserve"> – including retention / expansion of existing firms and new investment by firms outside the Town as well as start–up businesses.</w:t>
      </w:r>
    </w:p>
    <w:p w:rsidR="00EF3D22" w:rsidRDefault="00EF3D22">
      <w:pPr>
        <w:pStyle w:val="ListParagraph"/>
        <w:rPr>
          <w:rFonts w:ascii="Verdana" w:hAnsi="Verdana"/>
          <w:sz w:val="20"/>
          <w:szCs w:val="20"/>
        </w:rPr>
      </w:pPr>
    </w:p>
    <w:p w:rsidR="00EF3D22" w:rsidRDefault="00F87A45">
      <w:pPr>
        <w:pStyle w:val="Standard"/>
        <w:numPr>
          <w:ilvl w:val="0"/>
          <w:numId w:val="6"/>
        </w:numPr>
        <w:tabs>
          <w:tab w:val="left" w:pos="-12270"/>
        </w:tabs>
      </w:pPr>
      <w:r>
        <w:rPr>
          <w:rFonts w:ascii="Verdana" w:hAnsi="Verdana"/>
          <w:b/>
          <w:sz w:val="20"/>
          <w:szCs w:val="20"/>
        </w:rPr>
        <w:t>Industry Sector Focus</w:t>
      </w:r>
      <w:r>
        <w:rPr>
          <w:rFonts w:ascii="Verdana" w:hAnsi="Verdana"/>
          <w:sz w:val="20"/>
          <w:szCs w:val="20"/>
        </w:rPr>
        <w:t xml:space="preserve"> – promotion of manufacturing, technology, research and development, corporate office or other industrial/commercial sectors is a priority for the Town.  Retail, warehouse and distribution centers are not seen as a priority, and, therefore, are less likely to receive significant tax relief.  </w:t>
      </w:r>
    </w:p>
    <w:p w:rsidR="00EF3D22" w:rsidRDefault="00EF3D22">
      <w:pPr>
        <w:pStyle w:val="Standard"/>
        <w:tabs>
          <w:tab w:val="left" w:pos="-3630"/>
        </w:tabs>
        <w:ind w:left="720"/>
      </w:pPr>
    </w:p>
    <w:p w:rsidR="00EF3D22" w:rsidRDefault="00F87A45">
      <w:pPr>
        <w:pStyle w:val="Standard"/>
        <w:numPr>
          <w:ilvl w:val="0"/>
          <w:numId w:val="6"/>
        </w:numPr>
        <w:tabs>
          <w:tab w:val="left" w:pos="-12270"/>
        </w:tabs>
      </w:pPr>
      <w:r>
        <w:rPr>
          <w:rFonts w:ascii="Verdana" w:hAnsi="Verdana"/>
          <w:b/>
          <w:sz w:val="20"/>
          <w:szCs w:val="20"/>
        </w:rPr>
        <w:t>Town Tax Rate</w:t>
      </w:r>
      <w:r>
        <w:rPr>
          <w:rFonts w:ascii="Verdana" w:hAnsi="Verdana"/>
          <w:sz w:val="20"/>
          <w:szCs w:val="20"/>
        </w:rPr>
        <w:t xml:space="preserve"> </w:t>
      </w:r>
      <w:r>
        <w:rPr>
          <w:rFonts w:ascii="Verdana" w:hAnsi="Verdana"/>
          <w:b/>
          <w:sz w:val="20"/>
          <w:szCs w:val="20"/>
        </w:rPr>
        <w:t>Enhancement</w:t>
      </w:r>
      <w:r>
        <w:rPr>
          <w:rFonts w:ascii="Verdana" w:hAnsi="Verdana"/>
          <w:sz w:val="20"/>
          <w:szCs w:val="20"/>
        </w:rPr>
        <w:t xml:space="preserve"> – the ratio of the tax incentive to the capital investment and job creation, including net new tax revenue due to the Town after exemptions.</w:t>
      </w:r>
    </w:p>
    <w:p w:rsidR="00EF3D22" w:rsidRDefault="00EF3D22">
      <w:pPr>
        <w:pStyle w:val="ListParagraph"/>
        <w:rPr>
          <w:rFonts w:ascii="Verdana" w:hAnsi="Verdana"/>
          <w:sz w:val="20"/>
          <w:szCs w:val="20"/>
        </w:rPr>
      </w:pPr>
    </w:p>
    <w:p w:rsidR="00EF3D22" w:rsidRDefault="00F87A45">
      <w:pPr>
        <w:pStyle w:val="Standard"/>
        <w:numPr>
          <w:ilvl w:val="0"/>
          <w:numId w:val="6"/>
        </w:numPr>
        <w:tabs>
          <w:tab w:val="left" w:pos="-12270"/>
        </w:tabs>
      </w:pPr>
      <w:r>
        <w:rPr>
          <w:rFonts w:ascii="Verdana" w:hAnsi="Verdana"/>
          <w:b/>
          <w:sz w:val="20"/>
          <w:szCs w:val="20"/>
        </w:rPr>
        <w:t>Redevelopment</w:t>
      </w:r>
      <w:r>
        <w:rPr>
          <w:rFonts w:ascii="Verdana" w:hAnsi="Verdana"/>
          <w:sz w:val="20"/>
          <w:szCs w:val="20"/>
        </w:rPr>
        <w:t xml:space="preserve"> – facilitating the rehabilitation of deteriorated properties, older facilities and/or the expansion of existing industrial facilities. </w:t>
      </w:r>
    </w:p>
    <w:p w:rsidR="00EF3D22" w:rsidRDefault="00F87A45">
      <w:pPr>
        <w:pStyle w:val="Standard"/>
        <w:tabs>
          <w:tab w:val="left" w:pos="-3630"/>
        </w:tabs>
        <w:ind w:left="720"/>
      </w:pPr>
      <w:r>
        <w:rPr>
          <w:rFonts w:ascii="Verdana" w:hAnsi="Verdana"/>
          <w:sz w:val="20"/>
          <w:szCs w:val="20"/>
        </w:rPr>
        <w:t xml:space="preserve"> </w:t>
      </w:r>
    </w:p>
    <w:p w:rsidR="00EF3D22" w:rsidRDefault="00F87A45">
      <w:pPr>
        <w:pStyle w:val="Standard"/>
        <w:numPr>
          <w:ilvl w:val="0"/>
          <w:numId w:val="6"/>
        </w:numPr>
        <w:tabs>
          <w:tab w:val="left" w:pos="-12270"/>
        </w:tabs>
      </w:pPr>
      <w:r>
        <w:rPr>
          <w:rFonts w:ascii="Verdana" w:hAnsi="Verdana"/>
          <w:b/>
          <w:sz w:val="20"/>
          <w:szCs w:val="20"/>
        </w:rPr>
        <w:t>Local Economic Impacts</w:t>
      </w:r>
      <w:r>
        <w:rPr>
          <w:rFonts w:ascii="Verdana" w:hAnsi="Verdana"/>
          <w:sz w:val="20"/>
          <w:szCs w:val="20"/>
        </w:rPr>
        <w:t xml:space="preserve"> – including synergies with existing businesses, the potential to attract other new business investment and enhancement to employment opportunities.</w:t>
      </w:r>
    </w:p>
    <w:p w:rsidR="00EF3D22" w:rsidRDefault="00EF3D22">
      <w:pPr>
        <w:pStyle w:val="Standard"/>
        <w:tabs>
          <w:tab w:val="left" w:pos="1410"/>
        </w:tabs>
        <w:jc w:val="center"/>
        <w:rPr>
          <w:rFonts w:ascii="Verdana" w:hAnsi="Verdana"/>
          <w:sz w:val="20"/>
          <w:szCs w:val="20"/>
        </w:rPr>
      </w:pPr>
    </w:p>
    <w:p w:rsidR="00EF3D22" w:rsidRDefault="00F87A45">
      <w:pPr>
        <w:pStyle w:val="Standard"/>
        <w:tabs>
          <w:tab w:val="left" w:pos="1410"/>
        </w:tabs>
        <w:jc w:val="center"/>
        <w:rPr>
          <w:rFonts w:ascii="Verdana" w:hAnsi="Verdana"/>
          <w:sz w:val="20"/>
          <w:szCs w:val="20"/>
          <w:u w:val="single"/>
        </w:rPr>
      </w:pPr>
      <w:r>
        <w:rPr>
          <w:rFonts w:ascii="Verdana" w:hAnsi="Verdana"/>
          <w:sz w:val="20"/>
          <w:szCs w:val="20"/>
          <w:u w:val="single"/>
        </w:rPr>
        <w:t>Attachment B</w:t>
      </w:r>
    </w:p>
    <w:p w:rsidR="00EF3D22" w:rsidRDefault="00F87A45">
      <w:pPr>
        <w:pStyle w:val="Standard"/>
        <w:tabs>
          <w:tab w:val="left" w:pos="1410"/>
        </w:tabs>
        <w:jc w:val="center"/>
        <w:rPr>
          <w:rFonts w:ascii="Verdana" w:hAnsi="Verdana"/>
          <w:b/>
          <w:sz w:val="20"/>
          <w:szCs w:val="20"/>
        </w:rPr>
      </w:pPr>
      <w:r>
        <w:rPr>
          <w:rFonts w:ascii="Verdana" w:hAnsi="Verdana"/>
          <w:b/>
          <w:sz w:val="20"/>
          <w:szCs w:val="20"/>
        </w:rPr>
        <w:t>Potential Tax Reduction for Qualified Projects</w:t>
      </w:r>
    </w:p>
    <w:p w:rsidR="00EF3D22" w:rsidRDefault="00F87A45">
      <w:pPr>
        <w:pStyle w:val="Standard"/>
        <w:tabs>
          <w:tab w:val="left" w:pos="1410"/>
        </w:tabs>
        <w:jc w:val="center"/>
      </w:pPr>
      <w:r>
        <w:rPr>
          <w:rFonts w:ascii="Verdana" w:hAnsi="Verdana"/>
          <w:sz w:val="20"/>
          <w:szCs w:val="20"/>
        </w:rPr>
        <w:t>(</w:t>
      </w:r>
      <w:proofErr w:type="gramStart"/>
      <w:r>
        <w:rPr>
          <w:rFonts w:ascii="Verdana" w:hAnsi="Verdana"/>
          <w:sz w:val="20"/>
          <w:szCs w:val="20"/>
        </w:rPr>
        <w:t>may</w:t>
      </w:r>
      <w:proofErr w:type="gramEnd"/>
      <w:r>
        <w:rPr>
          <w:rFonts w:ascii="Verdana" w:hAnsi="Verdana"/>
          <w:sz w:val="20"/>
          <w:szCs w:val="20"/>
        </w:rPr>
        <w:t xml:space="preserve"> vary with economic conditions and town needs)</w:t>
      </w:r>
    </w:p>
    <w:p w:rsidR="00EF3D22" w:rsidRDefault="00EF3D22">
      <w:pPr>
        <w:pStyle w:val="Standard"/>
        <w:tabs>
          <w:tab w:val="left" w:pos="1410"/>
        </w:tabs>
        <w:jc w:val="center"/>
        <w:rPr>
          <w:rFonts w:ascii="Verdana" w:hAnsi="Verdana"/>
          <w:b/>
          <w:sz w:val="20"/>
          <w:szCs w:val="20"/>
        </w:rPr>
      </w:pPr>
    </w:p>
    <w:p w:rsidR="00EF3D22" w:rsidRDefault="00F87A45">
      <w:pPr>
        <w:pStyle w:val="Standard"/>
        <w:tabs>
          <w:tab w:val="left" w:pos="1410"/>
        </w:tabs>
      </w:pPr>
      <w:r>
        <w:rPr>
          <w:rFonts w:ascii="Verdana" w:hAnsi="Verdana"/>
          <w:sz w:val="20"/>
          <w:szCs w:val="20"/>
          <w:u w:val="single"/>
        </w:rPr>
        <w:t>Category #1:</w:t>
      </w:r>
    </w:p>
    <w:p w:rsidR="00EF3D22" w:rsidRDefault="00F87A45">
      <w:pPr>
        <w:pStyle w:val="Standard"/>
        <w:tabs>
          <w:tab w:val="left" w:pos="1410"/>
        </w:tabs>
        <w:ind w:left="450"/>
        <w:rPr>
          <w:rFonts w:ascii="Verdana" w:hAnsi="Verdana"/>
          <w:sz w:val="20"/>
          <w:szCs w:val="20"/>
        </w:rPr>
      </w:pPr>
      <w:r>
        <w:rPr>
          <w:rFonts w:ascii="Verdana" w:hAnsi="Verdana"/>
          <w:sz w:val="20"/>
          <w:szCs w:val="20"/>
        </w:rPr>
        <w:t>For projects which create 10 + jobs –</w:t>
      </w:r>
      <w:r>
        <w:rPr>
          <w:rFonts w:ascii="Verdana" w:hAnsi="Verdana"/>
          <w:sz w:val="20"/>
          <w:szCs w:val="20"/>
        </w:rPr>
        <w:tab/>
        <w:t xml:space="preserve"> Year 1 – 100%</w:t>
      </w:r>
    </w:p>
    <w:p w:rsidR="00EF3D22" w:rsidRDefault="00F87A45">
      <w:pPr>
        <w:pStyle w:val="Standard"/>
        <w:tabs>
          <w:tab w:val="left" w:pos="1410"/>
        </w:tabs>
        <w:ind w:left="4320"/>
        <w:rPr>
          <w:rFonts w:ascii="Verdana" w:hAnsi="Verdana"/>
          <w:sz w:val="20"/>
          <w:szCs w:val="20"/>
        </w:rPr>
      </w:pPr>
      <w:r>
        <w:rPr>
          <w:rFonts w:ascii="Verdana" w:hAnsi="Verdana"/>
          <w:sz w:val="20"/>
          <w:szCs w:val="20"/>
        </w:rPr>
        <w:t>Year 2 – 75%</w:t>
      </w:r>
    </w:p>
    <w:p w:rsidR="00EF3D22" w:rsidRDefault="00F87A45">
      <w:pPr>
        <w:pStyle w:val="Standard"/>
        <w:tabs>
          <w:tab w:val="left" w:pos="1410"/>
        </w:tabs>
        <w:ind w:left="4320"/>
        <w:rPr>
          <w:rFonts w:ascii="Verdana" w:hAnsi="Verdana"/>
          <w:sz w:val="20"/>
          <w:szCs w:val="20"/>
        </w:rPr>
      </w:pPr>
      <w:r>
        <w:rPr>
          <w:rFonts w:ascii="Verdana" w:hAnsi="Verdana"/>
          <w:sz w:val="20"/>
          <w:szCs w:val="20"/>
        </w:rPr>
        <w:t>Year 3 – 50 %</w:t>
      </w:r>
    </w:p>
    <w:p w:rsidR="00EF3D22" w:rsidRDefault="00F87A45">
      <w:pPr>
        <w:pStyle w:val="Standard"/>
        <w:tabs>
          <w:tab w:val="left" w:pos="1410"/>
        </w:tabs>
        <w:ind w:left="4320"/>
        <w:rPr>
          <w:rFonts w:ascii="Verdana" w:hAnsi="Verdana"/>
          <w:sz w:val="20"/>
          <w:szCs w:val="20"/>
        </w:rPr>
      </w:pPr>
      <w:r>
        <w:rPr>
          <w:rFonts w:ascii="Verdana" w:hAnsi="Verdana"/>
          <w:sz w:val="20"/>
          <w:szCs w:val="20"/>
        </w:rPr>
        <w:t>Year 4 – 30 %</w:t>
      </w:r>
    </w:p>
    <w:p w:rsidR="00EF3D22" w:rsidRDefault="00F87A45">
      <w:pPr>
        <w:pStyle w:val="Standard"/>
        <w:tabs>
          <w:tab w:val="left" w:pos="1410"/>
        </w:tabs>
        <w:ind w:left="4320"/>
      </w:pPr>
      <w:r>
        <w:rPr>
          <w:rFonts w:ascii="Verdana" w:hAnsi="Verdana"/>
          <w:sz w:val="20"/>
          <w:szCs w:val="20"/>
        </w:rPr>
        <w:t>Year 5 – 15%</w:t>
      </w:r>
    </w:p>
    <w:p w:rsidR="00EF3D22" w:rsidRDefault="00EF3D22">
      <w:pPr>
        <w:pStyle w:val="Standard"/>
        <w:tabs>
          <w:tab w:val="left" w:pos="1410"/>
        </w:tabs>
        <w:rPr>
          <w:rFonts w:ascii="Verdana" w:hAnsi="Verdana"/>
          <w:sz w:val="20"/>
          <w:szCs w:val="20"/>
        </w:rPr>
      </w:pPr>
    </w:p>
    <w:p w:rsidR="00EF3D22" w:rsidRDefault="00F87A45">
      <w:pPr>
        <w:pStyle w:val="Standard"/>
        <w:tabs>
          <w:tab w:val="left" w:pos="1410"/>
          <w:tab w:val="left" w:pos="6480"/>
        </w:tabs>
      </w:pPr>
      <w:r>
        <w:rPr>
          <w:rFonts w:ascii="Verdana" w:hAnsi="Verdana"/>
          <w:sz w:val="20"/>
          <w:szCs w:val="20"/>
          <w:u w:val="single"/>
        </w:rPr>
        <w:t>Category # 2:</w:t>
      </w:r>
    </w:p>
    <w:p w:rsidR="00EF3D22" w:rsidRDefault="00F87A45">
      <w:pPr>
        <w:pStyle w:val="Standard"/>
        <w:tabs>
          <w:tab w:val="left" w:pos="1410"/>
          <w:tab w:val="left" w:pos="6480"/>
        </w:tabs>
        <w:ind w:left="450"/>
        <w:rPr>
          <w:rFonts w:ascii="Verdana" w:hAnsi="Verdana"/>
          <w:sz w:val="20"/>
          <w:szCs w:val="20"/>
        </w:rPr>
      </w:pPr>
      <w:r>
        <w:rPr>
          <w:rFonts w:ascii="Verdana" w:hAnsi="Verdana"/>
          <w:sz w:val="20"/>
          <w:szCs w:val="20"/>
        </w:rPr>
        <w:t>For projects which create 5 - 10 jobs – Year 1 – 75%</w:t>
      </w:r>
    </w:p>
    <w:p w:rsidR="00EF3D22" w:rsidRDefault="00F87A45">
      <w:pPr>
        <w:pStyle w:val="Standard"/>
        <w:tabs>
          <w:tab w:val="left" w:pos="4410"/>
        </w:tabs>
        <w:rPr>
          <w:rFonts w:ascii="Verdana" w:hAnsi="Verdana"/>
          <w:sz w:val="20"/>
          <w:szCs w:val="20"/>
        </w:rPr>
      </w:pPr>
      <w:r>
        <w:rPr>
          <w:rFonts w:ascii="Verdana" w:hAnsi="Verdana"/>
          <w:sz w:val="20"/>
          <w:szCs w:val="20"/>
        </w:rPr>
        <w:tab/>
        <w:t>Year 2 – 60%</w:t>
      </w:r>
    </w:p>
    <w:p w:rsidR="00EF3D22" w:rsidRDefault="00F87A45">
      <w:pPr>
        <w:pStyle w:val="Standard"/>
        <w:tabs>
          <w:tab w:val="left" w:pos="4410"/>
        </w:tabs>
        <w:rPr>
          <w:rFonts w:ascii="Verdana" w:hAnsi="Verdana"/>
          <w:sz w:val="20"/>
          <w:szCs w:val="20"/>
        </w:rPr>
      </w:pPr>
      <w:r>
        <w:rPr>
          <w:rFonts w:ascii="Verdana" w:hAnsi="Verdana"/>
          <w:sz w:val="20"/>
          <w:szCs w:val="20"/>
        </w:rPr>
        <w:tab/>
        <w:t>Year 3 – 45%</w:t>
      </w:r>
    </w:p>
    <w:p w:rsidR="00EF3D22" w:rsidRDefault="00F87A45">
      <w:pPr>
        <w:pStyle w:val="Standard"/>
        <w:tabs>
          <w:tab w:val="left" w:pos="4410"/>
        </w:tabs>
        <w:rPr>
          <w:rFonts w:ascii="Verdana" w:hAnsi="Verdana"/>
          <w:sz w:val="20"/>
          <w:szCs w:val="20"/>
        </w:rPr>
      </w:pPr>
      <w:r>
        <w:rPr>
          <w:rFonts w:ascii="Verdana" w:hAnsi="Verdana"/>
          <w:sz w:val="20"/>
          <w:szCs w:val="20"/>
        </w:rPr>
        <w:tab/>
        <w:t>Year 4 – 25%</w:t>
      </w:r>
    </w:p>
    <w:p w:rsidR="00EF3D22" w:rsidRDefault="00F87A45">
      <w:pPr>
        <w:pStyle w:val="Standard"/>
        <w:tabs>
          <w:tab w:val="left" w:pos="4410"/>
        </w:tabs>
      </w:pPr>
      <w:r>
        <w:rPr>
          <w:rFonts w:ascii="Verdana" w:hAnsi="Verdana"/>
          <w:sz w:val="20"/>
          <w:szCs w:val="20"/>
        </w:rPr>
        <w:tab/>
        <w:t>Year 5 – 10%</w:t>
      </w:r>
    </w:p>
    <w:p w:rsidR="00EF3D22" w:rsidRDefault="00EF3D22">
      <w:pPr>
        <w:pStyle w:val="Standard"/>
        <w:tabs>
          <w:tab w:val="left" w:pos="1410"/>
        </w:tabs>
        <w:rPr>
          <w:rFonts w:ascii="Verdana" w:hAnsi="Verdana"/>
          <w:sz w:val="20"/>
          <w:szCs w:val="20"/>
        </w:rPr>
      </w:pPr>
    </w:p>
    <w:p w:rsidR="00EF3D22" w:rsidRDefault="00F87A45">
      <w:pPr>
        <w:pStyle w:val="Standard"/>
        <w:tabs>
          <w:tab w:val="left" w:pos="1410"/>
        </w:tabs>
      </w:pPr>
      <w:r>
        <w:rPr>
          <w:rFonts w:ascii="Verdana" w:hAnsi="Verdana"/>
          <w:sz w:val="20"/>
          <w:szCs w:val="20"/>
          <w:u w:val="single"/>
        </w:rPr>
        <w:t>Category # 3:</w:t>
      </w:r>
    </w:p>
    <w:p w:rsidR="00EF3D22" w:rsidRDefault="00F87A45">
      <w:pPr>
        <w:pStyle w:val="Standard"/>
        <w:tabs>
          <w:tab w:val="left" w:pos="1410"/>
        </w:tabs>
        <w:ind w:left="540"/>
        <w:rPr>
          <w:rFonts w:ascii="Verdana" w:hAnsi="Verdana"/>
          <w:sz w:val="20"/>
          <w:szCs w:val="20"/>
        </w:rPr>
      </w:pPr>
      <w:r>
        <w:rPr>
          <w:rFonts w:ascii="Verdana" w:hAnsi="Verdana"/>
          <w:sz w:val="20"/>
          <w:szCs w:val="20"/>
        </w:rPr>
        <w:t>For projects which create 1- 5 jobs – Year 1 – 50%</w:t>
      </w:r>
    </w:p>
    <w:p w:rsidR="00EF3D22" w:rsidRDefault="00F87A45">
      <w:pPr>
        <w:pStyle w:val="Standard"/>
        <w:tabs>
          <w:tab w:val="left" w:pos="1410"/>
        </w:tabs>
        <w:ind w:left="4320"/>
        <w:rPr>
          <w:rFonts w:ascii="Verdana" w:hAnsi="Verdana"/>
          <w:sz w:val="20"/>
          <w:szCs w:val="20"/>
        </w:rPr>
      </w:pPr>
      <w:r>
        <w:rPr>
          <w:rFonts w:ascii="Verdana" w:hAnsi="Verdana"/>
          <w:sz w:val="20"/>
          <w:szCs w:val="20"/>
        </w:rPr>
        <w:t>Year 2 – 40%</w:t>
      </w:r>
    </w:p>
    <w:p w:rsidR="00EF3D22" w:rsidRDefault="00F87A45">
      <w:pPr>
        <w:pStyle w:val="Standard"/>
        <w:tabs>
          <w:tab w:val="left" w:pos="1410"/>
        </w:tabs>
        <w:ind w:left="4320"/>
        <w:rPr>
          <w:rFonts w:ascii="Verdana" w:hAnsi="Verdana"/>
          <w:sz w:val="20"/>
          <w:szCs w:val="20"/>
        </w:rPr>
      </w:pPr>
      <w:r>
        <w:rPr>
          <w:rFonts w:ascii="Verdana" w:hAnsi="Verdana"/>
          <w:sz w:val="20"/>
          <w:szCs w:val="20"/>
        </w:rPr>
        <w:t>Year 3 – 30%</w:t>
      </w:r>
    </w:p>
    <w:p w:rsidR="00EF3D22" w:rsidRDefault="00F87A45">
      <w:pPr>
        <w:pStyle w:val="Standard"/>
        <w:tabs>
          <w:tab w:val="left" w:pos="1410"/>
        </w:tabs>
        <w:ind w:left="4320"/>
        <w:rPr>
          <w:rFonts w:ascii="Verdana" w:hAnsi="Verdana"/>
          <w:sz w:val="20"/>
          <w:szCs w:val="20"/>
        </w:rPr>
      </w:pPr>
      <w:r>
        <w:rPr>
          <w:rFonts w:ascii="Verdana" w:hAnsi="Verdana"/>
          <w:sz w:val="20"/>
          <w:szCs w:val="20"/>
        </w:rPr>
        <w:t>Year 4 – 20%</w:t>
      </w:r>
    </w:p>
    <w:p w:rsidR="00EF3D22" w:rsidRDefault="00F87A45">
      <w:pPr>
        <w:pStyle w:val="Standard"/>
        <w:tabs>
          <w:tab w:val="left" w:pos="1410"/>
        </w:tabs>
        <w:ind w:left="4320"/>
      </w:pPr>
      <w:r>
        <w:rPr>
          <w:rFonts w:ascii="Verdana" w:hAnsi="Verdana"/>
          <w:sz w:val="20"/>
          <w:szCs w:val="20"/>
        </w:rPr>
        <w:t>Year 5 – 5%</w:t>
      </w:r>
    </w:p>
    <w:sectPr w:rsidR="00EF3D22">
      <w:footerReference w:type="default" r:id="rId12"/>
      <w:pgSz w:w="12240" w:h="15840"/>
      <w:pgMar w:top="432"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041" w:rsidRDefault="005F0041">
      <w:r>
        <w:separator/>
      </w:r>
    </w:p>
  </w:endnote>
  <w:endnote w:type="continuationSeparator" w:id="0">
    <w:p w:rsidR="005F0041" w:rsidRDefault="005F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26" w:rsidRDefault="006D4329">
    <w:pPr>
      <w:pStyle w:val="Footer"/>
    </w:pPr>
    <w:r w:rsidRPr="006D4329">
      <w:rPr>
        <w:caps/>
        <w:noProof/>
        <w:color w:val="5B9BD5" w:themeColor="accent1"/>
        <w:lang w:eastAsia="en-US" w:bidi="ar-SA"/>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CD024B2"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6D4329">
      <w:rPr>
        <w:caps/>
        <w:color w:val="5B9BD5" w:themeColor="accent1"/>
      </w:rPr>
      <w:t xml:space="preserve"> </w:t>
    </w:r>
    <w:r w:rsidRPr="006D4329">
      <w:rPr>
        <w:rFonts w:asciiTheme="majorHAnsi" w:eastAsiaTheme="majorEastAsia" w:hAnsiTheme="majorHAnsi" w:cstheme="majorBidi"/>
        <w:caps/>
        <w:color w:val="5B9BD5" w:themeColor="accent1"/>
        <w:sz w:val="20"/>
        <w:szCs w:val="20"/>
      </w:rPr>
      <w:t xml:space="preserve">pg. </w:t>
    </w:r>
    <w:r w:rsidRPr="006D4329">
      <w:rPr>
        <w:rFonts w:asciiTheme="minorHAnsi" w:eastAsiaTheme="minorEastAsia" w:hAnsiTheme="minorHAnsi" w:cstheme="minorBidi"/>
        <w:caps/>
        <w:color w:val="5B9BD5" w:themeColor="accent1"/>
        <w:sz w:val="20"/>
        <w:szCs w:val="20"/>
      </w:rPr>
      <w:fldChar w:fldCharType="begin"/>
    </w:r>
    <w:r w:rsidRPr="006D4329">
      <w:rPr>
        <w:caps/>
        <w:color w:val="5B9BD5" w:themeColor="accent1"/>
        <w:sz w:val="20"/>
        <w:szCs w:val="20"/>
      </w:rPr>
      <w:instrText xml:space="preserve"> PAGE    \* MERGEFORMAT </w:instrText>
    </w:r>
    <w:r w:rsidRPr="006D4329">
      <w:rPr>
        <w:rFonts w:asciiTheme="minorHAnsi" w:eastAsiaTheme="minorEastAsia" w:hAnsiTheme="minorHAnsi" w:cstheme="minorBidi"/>
        <w:caps/>
        <w:color w:val="5B9BD5" w:themeColor="accent1"/>
        <w:sz w:val="20"/>
        <w:szCs w:val="20"/>
      </w:rPr>
      <w:fldChar w:fldCharType="separate"/>
    </w:r>
    <w:r w:rsidR="00E73731" w:rsidRPr="00E73731">
      <w:rPr>
        <w:rFonts w:asciiTheme="majorHAnsi" w:eastAsiaTheme="majorEastAsia" w:hAnsiTheme="majorHAnsi" w:cstheme="majorBidi"/>
        <w:caps/>
        <w:noProof/>
        <w:color w:val="5B9BD5" w:themeColor="accent1"/>
        <w:sz w:val="20"/>
        <w:szCs w:val="20"/>
      </w:rPr>
      <w:t>2</w:t>
    </w:r>
    <w:r w:rsidRPr="006D4329">
      <w:rPr>
        <w:rFonts w:asciiTheme="majorHAnsi" w:eastAsiaTheme="majorEastAsia" w:hAnsiTheme="majorHAnsi" w:cstheme="majorBidi"/>
        <w:caps/>
        <w:noProof/>
        <w:color w:val="5B9BD5" w:themeColor="accent1"/>
        <w:sz w:val="20"/>
        <w:szCs w:val="20"/>
      </w:rPr>
      <w:fldChar w:fldCharType="end"/>
    </w:r>
    <w:r>
      <w:rPr>
        <w:rFonts w:asciiTheme="majorHAnsi" w:eastAsiaTheme="majorEastAsia" w:hAnsiTheme="majorHAnsi" w:cstheme="majorBidi"/>
        <w:caps/>
        <w:noProof/>
        <w:color w:val="5B9BD5" w:themeColor="accent1"/>
        <w:sz w:val="20"/>
        <w:szCs w:val="20"/>
      </w:rPr>
      <w:tab/>
    </w:r>
    <w:r>
      <w:rPr>
        <w:rFonts w:asciiTheme="majorHAnsi" w:eastAsiaTheme="majorEastAsia" w:hAnsiTheme="majorHAnsi" w:cstheme="majorBidi"/>
        <w:caps/>
        <w:noProof/>
        <w:color w:val="5B9BD5" w:themeColor="accent1"/>
        <w:sz w:val="20"/>
        <w:szCs w:val="20"/>
      </w:rPr>
      <w:tab/>
    </w:r>
    <w:r>
      <w:rPr>
        <w:rFonts w:asciiTheme="majorHAnsi" w:eastAsiaTheme="majorEastAsia" w:hAnsiTheme="majorHAnsi" w:cstheme="majorBidi"/>
        <w:caps/>
        <w:noProof/>
        <w:color w:val="5B9BD5" w:themeColor="accent1"/>
        <w:sz w:val="20"/>
        <w:szCs w:val="20"/>
      </w:rPr>
      <w:fldChar w:fldCharType="begin"/>
    </w:r>
    <w:r>
      <w:rPr>
        <w:rFonts w:asciiTheme="majorHAnsi" w:eastAsiaTheme="majorEastAsia" w:hAnsiTheme="majorHAnsi" w:cstheme="majorBidi"/>
        <w:caps/>
        <w:noProof/>
        <w:color w:val="5B9BD5" w:themeColor="accent1"/>
        <w:sz w:val="20"/>
        <w:szCs w:val="20"/>
      </w:rPr>
      <w:instrText xml:space="preserve"> DATE \@ "M/d/yy" </w:instrText>
    </w:r>
    <w:r>
      <w:rPr>
        <w:rFonts w:asciiTheme="majorHAnsi" w:eastAsiaTheme="majorEastAsia" w:hAnsiTheme="majorHAnsi" w:cstheme="majorBidi"/>
        <w:caps/>
        <w:noProof/>
        <w:color w:val="5B9BD5" w:themeColor="accent1"/>
        <w:sz w:val="20"/>
        <w:szCs w:val="20"/>
      </w:rPr>
      <w:fldChar w:fldCharType="separate"/>
    </w:r>
    <w:r w:rsidR="00F11C65">
      <w:rPr>
        <w:rFonts w:asciiTheme="majorHAnsi" w:eastAsiaTheme="majorEastAsia" w:hAnsiTheme="majorHAnsi" w:cstheme="majorBidi"/>
        <w:caps/>
        <w:noProof/>
        <w:color w:val="5B9BD5" w:themeColor="accent1"/>
        <w:sz w:val="20"/>
        <w:szCs w:val="20"/>
      </w:rPr>
      <w:t>1/9/18</w:t>
    </w:r>
    <w:r>
      <w:rPr>
        <w:rFonts w:asciiTheme="majorHAnsi" w:eastAsiaTheme="majorEastAsia" w:hAnsiTheme="majorHAnsi" w:cstheme="majorBidi"/>
        <w:caps/>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041" w:rsidRDefault="005F0041">
      <w:r>
        <w:rPr>
          <w:color w:val="000000"/>
        </w:rPr>
        <w:separator/>
      </w:r>
    </w:p>
  </w:footnote>
  <w:footnote w:type="continuationSeparator" w:id="0">
    <w:p w:rsidR="005F0041" w:rsidRDefault="005F0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63F2E"/>
    <w:multiLevelType w:val="multilevel"/>
    <w:tmpl w:val="2EAA7F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600828"/>
    <w:multiLevelType w:val="multilevel"/>
    <w:tmpl w:val="52980A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8C12E9E"/>
    <w:multiLevelType w:val="multilevel"/>
    <w:tmpl w:val="572A3E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D84B2B"/>
    <w:multiLevelType w:val="multilevel"/>
    <w:tmpl w:val="FB489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DE4339B"/>
    <w:multiLevelType w:val="multilevel"/>
    <w:tmpl w:val="F1EEF5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C022152"/>
    <w:multiLevelType w:val="multilevel"/>
    <w:tmpl w:val="1CAE87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22"/>
    <w:rsid w:val="005F0041"/>
    <w:rsid w:val="006D4329"/>
    <w:rsid w:val="007622D9"/>
    <w:rsid w:val="0085167A"/>
    <w:rsid w:val="00967039"/>
    <w:rsid w:val="00982D1D"/>
    <w:rsid w:val="00A22085"/>
    <w:rsid w:val="00E73731"/>
    <w:rsid w:val="00EF3D22"/>
    <w:rsid w:val="00F11C65"/>
    <w:rsid w:val="00F8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A87794-068B-4506-A6D7-1EB187A4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NoSpacing">
    <w:name w:val="No Spacing"/>
    <w:pPr>
      <w:widowControl/>
      <w:textAlignment w:val="auto"/>
    </w:pPr>
    <w:rPr>
      <w:rFonts w:ascii="Verdana" w:eastAsia="Calibri" w:hAnsi="Verdana" w:cs="Times New Roman"/>
      <w:kern w:val="0"/>
      <w:sz w:val="20"/>
      <w:szCs w:val="20"/>
      <w:lang w:eastAsia="en-US" w:bidi="ar-SA"/>
    </w:rPr>
  </w:style>
  <w:style w:type="paragraph" w:styleId="ListParagraph">
    <w:name w:val="List Paragraph"/>
    <w:basedOn w:val="Normal"/>
    <w:pPr>
      <w:ind w:left="720"/>
    </w:pPr>
    <w:rPr>
      <w:rFonts w:cs="Mangal"/>
      <w:szCs w:val="21"/>
    </w:rPr>
  </w:style>
  <w:style w:type="paragraph" w:styleId="Header">
    <w:name w:val="header"/>
    <w:basedOn w:val="Normal"/>
    <w:pPr>
      <w:tabs>
        <w:tab w:val="center" w:pos="4680"/>
        <w:tab w:val="right" w:pos="9360"/>
      </w:tabs>
    </w:pPr>
    <w:rPr>
      <w:rFonts w:cs="Mangal"/>
      <w:szCs w:val="21"/>
    </w:rPr>
  </w:style>
  <w:style w:type="character" w:customStyle="1" w:styleId="HeaderChar">
    <w:name w:val="Header Char"/>
    <w:basedOn w:val="DefaultParagraphFont"/>
    <w:rPr>
      <w:rFonts w:cs="Mangal"/>
      <w:szCs w:val="21"/>
    </w:rPr>
  </w:style>
  <w:style w:type="paragraph" w:styleId="Footer">
    <w:name w:val="footer"/>
    <w:basedOn w:val="Normal"/>
    <w:uiPriority w:val="99"/>
    <w:pPr>
      <w:tabs>
        <w:tab w:val="center" w:pos="4680"/>
        <w:tab w:val="right" w:pos="9360"/>
      </w:tabs>
    </w:pPr>
    <w:rPr>
      <w:rFonts w:cs="Mangal"/>
      <w:szCs w:val="21"/>
    </w:rPr>
  </w:style>
  <w:style w:type="character" w:customStyle="1" w:styleId="FooterChar">
    <w:name w:val="Footer Char"/>
    <w:basedOn w:val="DefaultParagraphFont"/>
    <w:uiPriority w:val="99"/>
    <w:rPr>
      <w:rFonts w:cs="Mangal"/>
      <w:szCs w:val="21"/>
    </w:rPr>
  </w:style>
  <w:style w:type="character" w:styleId="Emphasis">
    <w:name w:val="Emphasis"/>
    <w:basedOn w:val="DefaultParagraphFont"/>
    <w:rPr>
      <w:i/>
      <w:iCs/>
    </w:rPr>
  </w:style>
  <w:style w:type="character" w:styleId="Hyperlink">
    <w:name w:val="Hyperlink"/>
    <w:basedOn w:val="DefaultParagraphFont"/>
    <w:rPr>
      <w:color w:val="0563C1"/>
      <w:u w:val="single"/>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paragraph" w:styleId="Revision">
    <w:name w:val="Revision"/>
    <w:pPr>
      <w:widowControl/>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ass.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ss.gov/hed/economic/eohed/bd/econ-development/reporti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IPAnnualReport@state.ma.us" TargetMode="External"/><Relationship Id="rId5" Type="http://schemas.openxmlformats.org/officeDocument/2006/relationships/footnotes" Target="footnotes.xml"/><Relationship Id="rId10" Type="http://schemas.openxmlformats.org/officeDocument/2006/relationships/hyperlink" Target="mailto:selectboard@townofshelburne.com" TargetMode="External"/><Relationship Id="rId4" Type="http://schemas.openxmlformats.org/officeDocument/2006/relationships/webSettings" Target="webSettings.xml"/><Relationship Id="rId9" Type="http://schemas.openxmlformats.org/officeDocument/2006/relationships/hyperlink" Target="http://www.mass.gov/hed/economic/eohed/bd/econ-develop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98487F15</Template>
  <TotalTime>6</TotalTime>
  <Pages>4</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ArmsStaff</dc:creator>
  <cp:lastModifiedBy>Town Administrator</cp:lastModifiedBy>
  <cp:revision>3</cp:revision>
  <cp:lastPrinted>2017-12-18T18:21:00Z</cp:lastPrinted>
  <dcterms:created xsi:type="dcterms:W3CDTF">2018-01-09T15:16:00Z</dcterms:created>
  <dcterms:modified xsi:type="dcterms:W3CDTF">2018-01-09T15:21:00Z</dcterms:modified>
</cp:coreProperties>
</file>